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5011" w14:textId="51849441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Приложение </w:t>
      </w:r>
      <w:r w:rsidR="00A10336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15</w:t>
      </w:r>
    </w:p>
    <w:p w14:paraId="444567B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к Учетной политики для целей</w:t>
      </w:r>
    </w:p>
    <w:p w14:paraId="35A841D4" w14:textId="6C3753E2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  <w:r w:rsidR="003C3A3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бюджетного учета администрации  </w:t>
      </w:r>
    </w:p>
    <w:p w14:paraId="15FC0230" w14:textId="77777777" w:rsidR="003C3A35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Михайловского муниципального района</w:t>
      </w:r>
    </w:p>
    <w:p w14:paraId="12F228E7" w14:textId="73FEB0F3" w:rsidR="004315EF" w:rsidRDefault="003C3A35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  <w:r w:rsidR="004315EF">
        <w:rPr>
          <w:rFonts w:ascii="Times New Roman" w:hAnsi="Times New Roman" w:cs="Times New Roman"/>
          <w:color w:val="auto"/>
        </w:rPr>
        <w:t xml:space="preserve"> </w:t>
      </w:r>
      <w:r w:rsidRPr="003C3A35">
        <w:rPr>
          <w:rFonts w:ascii="Times New Roman" w:hAnsi="Times New Roman" w:cs="Times New Roman"/>
          <w:color w:val="auto"/>
        </w:rPr>
        <w:t>от 13.12.2022 № 873-ра</w:t>
      </w:r>
    </w:p>
    <w:p w14:paraId="0004947D" w14:textId="39583902" w:rsidR="004315EF" w:rsidRDefault="004315EF" w:rsidP="003B555B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</w:p>
    <w:p w14:paraId="4AC13B94" w14:textId="0164DCD8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</w:t>
      </w:r>
    </w:p>
    <w:p w14:paraId="0501746D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3B555B">
        <w:rPr>
          <w:rFonts w:ascii="Times New Roman" w:eastAsia="Times New Roman" w:hAnsi="Times New Roman" w:cs="Times New Roman"/>
          <w:b/>
          <w:bCs/>
          <w:color w:val="auto"/>
        </w:rPr>
        <w:t>Положение о проведении теста на обесценение активов</w:t>
      </w:r>
    </w:p>
    <w:p w14:paraId="23DC2B34" w14:textId="77777777" w:rsidR="003B555B" w:rsidRPr="003B555B" w:rsidRDefault="003B555B" w:rsidP="003B555B">
      <w:pPr>
        <w:rPr>
          <w:rFonts w:ascii="Calibri" w:eastAsia="Times New Roman" w:hAnsi="Calibri"/>
        </w:rPr>
      </w:pPr>
    </w:p>
    <w:p w14:paraId="507226CF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1.1. Настоящее положение разработано в соответствии с СГС «Обесценение активов».</w:t>
      </w:r>
    </w:p>
    <w:p w14:paraId="4647A086" w14:textId="77777777" w:rsidR="003B555B" w:rsidRPr="003B555B" w:rsidRDefault="003B555B" w:rsidP="003B555B">
      <w:pPr>
        <w:widowControl/>
        <w:shd w:val="clear" w:color="auto" w:fill="FFFFFF"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bookmarkStart w:id="0" w:name="_ref_1-9e53b0f59f6746"/>
      <w:bookmarkEnd w:id="0"/>
      <w:r w:rsidRPr="003B555B">
        <w:rPr>
          <w:rFonts w:ascii="Times New Roman" w:eastAsia="Times New Roman" w:hAnsi="Times New Roman" w:cs="Times New Roman"/>
          <w:bCs/>
          <w:color w:val="auto"/>
        </w:rPr>
        <w:t xml:space="preserve">1.2. Наличие признаков возможного обесценения (снижения убытка) выявляется при инвентаризации соответствующих активов, проводимой при составлении годовой отчетности (далее – тест на обесценение). </w:t>
      </w:r>
    </w:p>
    <w:p w14:paraId="44E61FE7" w14:textId="77777777" w:rsidR="003B555B" w:rsidRPr="003B555B" w:rsidRDefault="003B555B" w:rsidP="003B555B">
      <w:pPr>
        <w:widowControl/>
        <w:shd w:val="clear" w:color="auto" w:fill="FFFFFF"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 xml:space="preserve">1.3. Полномочия по выявлению признаков обесценения возлагаются на инвентаризационную комиссию. </w:t>
      </w:r>
    </w:p>
    <w:p w14:paraId="4B62B7FC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1.4.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</w:p>
    <w:p w14:paraId="25391AEF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1.5. Результаты теста на обесценение оформляются протоколом комиссии (приложение 1 к данному положению).</w:t>
      </w:r>
    </w:p>
    <w:p w14:paraId="1ACB1B3E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1.6.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</w:p>
    <w:p w14:paraId="7CE0D9E2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 xml:space="preserve">1.7. По итогам рассмотрения результатов теста на обесценение комиссией принимается решение о необходимости (об отсутствии необходимости) определения справедливой стоимости такого актива и суммы убытка от обесценения (снижения убытка). </w:t>
      </w:r>
    </w:p>
    <w:p w14:paraId="5913B46D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1.8. В случае если принимается решение о проведении оценки, комиссией составляется протокол, в котором также указываются метод определения справедливой стоимости актива, данные для расчета суммы убытка от обесценения (приложение 2 к данному положению).</w:t>
      </w:r>
    </w:p>
    <w:p w14:paraId="63FDA737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1.9.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</w:p>
    <w:p w14:paraId="1504DF38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 xml:space="preserve">1.10. Если по результатам определения справедливой стоимости актива выявлен убыток от обесценения, то он подлежит признанию в учете. </w:t>
      </w:r>
    </w:p>
    <w:p w14:paraId="76F432F2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1.11. В части имущества, распоряжаться которым учреждение самостоятельно не имеет права, признание убытка осуществляется только по согласованию с собственником.</w:t>
      </w:r>
    </w:p>
    <w:p w14:paraId="11535252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1.12.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 и   приказа руководителя (иного распорядительного документа).</w:t>
      </w:r>
    </w:p>
    <w:p w14:paraId="4489D68D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1.13.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14:paraId="76F8B2FD" w14:textId="77777777" w:rsidR="003B555B" w:rsidRPr="003B555B" w:rsidRDefault="003B555B" w:rsidP="003B555B">
      <w:pPr>
        <w:widowControl/>
        <w:suppressAutoHyphens w:val="0"/>
        <w:autoSpaceDE/>
        <w:autoSpaceDN/>
        <w:adjustRightInd/>
        <w:spacing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3B555B">
        <w:rPr>
          <w:rFonts w:ascii="Times New Roman" w:eastAsia="Times New Roman" w:hAnsi="Times New Roman" w:cs="Times New Roman"/>
          <w:bCs/>
          <w:color w:val="auto"/>
        </w:rPr>
        <w:t>1.14.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 и приказа руководителя (иного распорядительного документа).</w:t>
      </w:r>
    </w:p>
    <w:p w14:paraId="3DF796F6" w14:textId="77777777" w:rsidR="003B555B" w:rsidRPr="003B555B" w:rsidRDefault="003B555B" w:rsidP="003B555B">
      <w:pPr>
        <w:rPr>
          <w:rFonts w:ascii="Calibri" w:eastAsia="Times New Roman" w:hAnsi="Calibri"/>
        </w:rPr>
      </w:pPr>
    </w:p>
    <w:p w14:paraId="5E67295E" w14:textId="77777777" w:rsidR="003B555B" w:rsidRPr="003B555B" w:rsidRDefault="003B555B" w:rsidP="003B555B">
      <w:pPr>
        <w:rPr>
          <w:rFonts w:ascii="Calibri" w:eastAsia="Times New Roman" w:hAnsi="Calibri"/>
        </w:rPr>
      </w:pPr>
    </w:p>
    <w:p w14:paraId="344732FF" w14:textId="77777777" w:rsidR="00613F5A" w:rsidRDefault="00613F5A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2A7C3695" w14:textId="77777777" w:rsidR="00613F5A" w:rsidRDefault="00613F5A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5175B1C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Протокол комиссии</w:t>
      </w:r>
    </w:p>
    <w:p w14:paraId="2B320B5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выявлении признаков обесценения</w:t>
      </w:r>
    </w:p>
    <w:p w14:paraId="39E9DF9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C33C60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Инвентаризационная комиссия, утвержденная приказом от __________________________ № __________,</w:t>
      </w:r>
    </w:p>
    <w:p w14:paraId="493FCA8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проведении инвентаризации активов по состоянию на ____________________________</w:t>
      </w:r>
    </w:p>
    <w:p w14:paraId="2F49D01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целях обеспечения достоверности данных годовой бухгалтерской (финансовой) отчетности установила наличие признаков обесценения актива.</w:t>
      </w:r>
    </w:p>
    <w:p w14:paraId="3DC213B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97C6219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 Объект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398"/>
        <w:gridCol w:w="6173"/>
      </w:tblGrid>
      <w:tr w:rsidR="004315EF" w14:paraId="738B3C45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43AF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1CE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E60BB1D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B5C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№, дата инвентаризационной описи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D9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3125927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3BC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Краткая характеристика (год выпуска, год ввода в эксплуатацию, целевое назначение, состояние объекта)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915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67B33CD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DA6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Инвентарный номер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0CA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5AA581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EB6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Балансовая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1A6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B2E5C49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22E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104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E528582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A39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нГДП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(актив ГДП)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545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C84E848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A3F8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Материально ответственное лицо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77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1CFFC41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530D2B3E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 Признаки обесценения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4698"/>
        <w:gridCol w:w="1292"/>
        <w:gridCol w:w="3581"/>
      </w:tblGrid>
      <w:tr w:rsidR="004315EF" w14:paraId="6392FD08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EB74" w14:textId="77777777" w:rsidR="004315EF" w:rsidRDefault="004315EF" w:rsidP="00AB1714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Признаки, указывающие на обесценение актива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8BD9" w14:textId="77777777" w:rsidR="004315EF" w:rsidRDefault="004315EF" w:rsidP="00AB1714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Есть (нет)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AFA" w14:textId="77777777" w:rsidR="004315EF" w:rsidRDefault="004315EF" w:rsidP="00AB1714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Обоснование</w:t>
            </w:r>
          </w:p>
        </w:tc>
      </w:tr>
      <w:tr w:rsidR="004315EF" w14:paraId="7F6AC1F2" w14:textId="77777777" w:rsidTr="00431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119F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Внешние признаки (п. 7 СГС «Обесценение активов»)</w:t>
            </w:r>
          </w:p>
        </w:tc>
      </w:tr>
      <w:tr w:rsidR="004315EF" w14:paraId="1E565DEB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622A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Существенные изменения в законодательстве РФ, внешней и внутренней политике, экономике, технологиях, которые произошли в течение отчетного года или произойдут в ближайшем будущем и которые неблагоприятно влияют на деятельность учреждения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BD6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DC4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3DABE4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1A2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(или) устаревания (нормального физического и (или) морального износа)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5B6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348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E495559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1B0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Отсутствие либо значительное снижение потребности в продукции, работах, услугах, обеспечиваемых активом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7D4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761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71E83EA8" w14:textId="77777777" w:rsidTr="00431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319E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Внутренние признаки (п. 8 СГС «Обесценение активов»)</w:t>
            </w:r>
          </w:p>
        </w:tc>
      </w:tr>
      <w:tr w:rsidR="004315EF" w14:paraId="5EA308E1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F13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Моральное устаревание и (или) физическое повреждение актива, снижающие его полезный потенциал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968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E37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A7D743B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82B8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Существенные долгосрочные изменения в степени и (или) способе использования актива, которые произошли в течение отчетного периода или ожидаются в ближайшем будущем и которые неблагоприятно повлияют на деятельность учреждения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4AA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CBC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907DB93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FB1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Принятие решения о приостановлении создания объекта имущества на неопределенный срок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55A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E53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28FBC60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C93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Значительное ухудшение финансовых (экономических) результатов использования актива либо появление данных, указывающих, что финансовые (экономические) результаты использования актива ухудшатся по сравнению с ожиданиями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9C0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F99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EF54CC2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F8B" w14:textId="77777777" w:rsidR="004315EF" w:rsidRDefault="004315EF" w:rsidP="00AB1714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Резкое увеличение расходов учреждения на эксплуатацию или обслуживание актива по сравнению с тем, что было первоначально запланировано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8D4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FC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38EA2FE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120FAF10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 Решение комиссии</w:t>
      </w:r>
    </w:p>
    <w:p w14:paraId="7EBBA28B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315EF" w14:paraId="62D5AF30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55D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A733F03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EC3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557B799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D92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0642027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CD8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113AD51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F29" w14:textId="77777777" w:rsidR="004315EF" w:rsidRDefault="004315EF" w:rsidP="00AB1714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AECB299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58C7DF0" w14:textId="77777777" w:rsidR="004315EF" w:rsidRDefault="004315EF" w:rsidP="00AB171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 Подписи членов комиссии, дата составления протокола</w:t>
      </w:r>
    </w:p>
    <w:p w14:paraId="19C8185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C596A6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0CA2DF2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7516D9C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9E6EB91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AE7D0BF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A401CA2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974665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E747ED6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632B22E" w14:textId="77777777" w:rsidR="00AB1714" w:rsidRDefault="00AB1714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D54249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00BDA7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8C460D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36AAD85C" w14:textId="77777777" w:rsidR="003B555B" w:rsidRDefault="004315EF" w:rsidP="004315EF">
      <w:pPr>
        <w:rPr>
          <w:rFonts w:ascii="Times New Roman" w:hAnsi="Times New Roman" w:cs="Times New Roman"/>
        </w:rPr>
      </w:pPr>
      <w:r w:rsidRPr="00A10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1D582D9A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5ADA25AA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7DE3D7DA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28DCB205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35A62BFB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42F1FE92" w14:textId="77777777" w:rsidR="003B555B" w:rsidRDefault="003B555B" w:rsidP="004315EF">
      <w:pPr>
        <w:rPr>
          <w:rFonts w:ascii="Times New Roman" w:hAnsi="Times New Roman" w:cs="Times New Roman"/>
        </w:rPr>
      </w:pPr>
    </w:p>
    <w:p w14:paraId="00C3E68F" w14:textId="58BFFE54" w:rsidR="004315EF" w:rsidRPr="00A10336" w:rsidRDefault="003B555B" w:rsidP="0043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="004315EF" w:rsidRPr="00A10336">
        <w:rPr>
          <w:rFonts w:ascii="Times New Roman" w:hAnsi="Times New Roman" w:cs="Times New Roman"/>
        </w:rPr>
        <w:t xml:space="preserve">Приложение </w:t>
      </w:r>
      <w:r w:rsidR="00A10336" w:rsidRPr="00A10336">
        <w:rPr>
          <w:rFonts w:ascii="Times New Roman" w:hAnsi="Times New Roman" w:cs="Times New Roman"/>
        </w:rPr>
        <w:t xml:space="preserve">№ </w:t>
      </w:r>
      <w:r w:rsidR="004315EF" w:rsidRPr="00A10336">
        <w:rPr>
          <w:rFonts w:ascii="Times New Roman" w:hAnsi="Times New Roman" w:cs="Times New Roman"/>
        </w:rPr>
        <w:t>16</w:t>
      </w:r>
    </w:p>
    <w:p w14:paraId="7670B63E" w14:textId="77777777" w:rsidR="004315EF" w:rsidRPr="00A10336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1033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к Учетной политики для целей</w:t>
      </w:r>
    </w:p>
    <w:p w14:paraId="5D0C4E80" w14:textId="77777777" w:rsidR="004315EF" w:rsidRPr="00A10336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1033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бюджетного учета администрации  </w:t>
      </w:r>
    </w:p>
    <w:p w14:paraId="3C2C721F" w14:textId="77777777" w:rsidR="004315EF" w:rsidRPr="00A10336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10336">
        <w:rPr>
          <w:rFonts w:ascii="Times New Roman" w:hAnsi="Times New Roman" w:cs="Times New Roman"/>
          <w:color w:val="auto"/>
        </w:rPr>
        <w:t xml:space="preserve">                                                                      Михайловского муниципального района, </w:t>
      </w:r>
    </w:p>
    <w:p w14:paraId="24D70D52" w14:textId="12C72AE9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10336"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  <w:bookmarkStart w:id="1" w:name="_GoBack"/>
      <w:bookmarkEnd w:id="1"/>
      <w:r w:rsidR="003C3A35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3C3A35" w:rsidRPr="003C3A35">
        <w:rPr>
          <w:rFonts w:ascii="Times New Roman" w:hAnsi="Times New Roman" w:cs="Times New Roman"/>
          <w:color w:val="auto"/>
        </w:rPr>
        <w:t>от 13.12.2022 № 873-ра</w:t>
      </w:r>
    </w:p>
    <w:p w14:paraId="074E2ED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B0B5656" w14:textId="77777777" w:rsidR="00786021" w:rsidRDefault="00786021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D68178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Протокол комиссии</w:t>
      </w:r>
    </w:p>
    <w:p w14:paraId="7D5B173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об определении справедливой стоимости актива и</w:t>
      </w:r>
    </w:p>
    <w:p w14:paraId="2A977BC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суммы убытка от обесценения</w:t>
      </w:r>
    </w:p>
    <w:p w14:paraId="1073EAB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013B03" w14:textId="0EA5460F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Комиссия по поступлению и выбытию активов, утвержденная приказом от __</w:t>
      </w:r>
      <w:r w:rsidR="00AB1714">
        <w:rPr>
          <w:rFonts w:ascii="Times New Roman" w:hAnsi="Times New Roman" w:cs="Times New Roman"/>
          <w:color w:val="auto"/>
        </w:rPr>
        <w:t>____</w:t>
      </w:r>
      <w:r>
        <w:rPr>
          <w:rFonts w:ascii="Times New Roman" w:hAnsi="Times New Roman" w:cs="Times New Roman"/>
          <w:color w:val="auto"/>
        </w:rPr>
        <w:t xml:space="preserve"> № ___</w:t>
      </w:r>
      <w:proofErr w:type="gramStart"/>
      <w:r>
        <w:rPr>
          <w:rFonts w:ascii="Times New Roman" w:hAnsi="Times New Roman" w:cs="Times New Roman"/>
          <w:color w:val="auto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</w:rPr>
        <w:t xml:space="preserve"> на основании представленных данных о выявленных признаках обесценения объекта имущества установила необходимость определения справедливой стоимости и расчете суммы убытка в отношении следующего актива:</w:t>
      </w:r>
    </w:p>
    <w:p w14:paraId="2C41C09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185A31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 Объект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398"/>
        <w:gridCol w:w="6173"/>
      </w:tblGrid>
      <w:tr w:rsidR="004315EF" w14:paraId="3D08566E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3E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6C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096AF7B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C4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Краткая характеристика (год выпуска, год ввода в эксплуатацию, целевое назначение, состояние объекта)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28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3FB0DE38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D8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Инвентарный номер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C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64B1F95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8B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Балансовая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48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3D770C09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595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4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4F15712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809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нГДП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(актив ГДП)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FE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8F34E27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FC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Материально ответственное лицо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2F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0A03F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046CD62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 Метод определения справедливой стоимости</w:t>
      </w:r>
    </w:p>
    <w:p w14:paraId="492E08B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Справедливая стоимость имущества определяется на основании текущих рыночных цен или данных о недавних сделках с аналогичными или схожими активами, а при отсутствии подтверждающих документов – экспертным путем.</w:t>
      </w:r>
    </w:p>
    <w:p w14:paraId="0610386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определении справедливой стоимости указанного объекта комиссией используется следующая информация: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674"/>
        <w:gridCol w:w="1114"/>
        <w:gridCol w:w="2783"/>
      </w:tblGrid>
      <w:tr w:rsidR="004315EF" w14:paraId="37FE4BFB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E81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9B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Да (нет)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049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Источник (указать)</w:t>
            </w:r>
          </w:p>
        </w:tc>
      </w:tr>
      <w:tr w:rsidR="004315EF" w14:paraId="1D25326C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35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Данные о ценах на аналогичные материальные ценности, полученные в письменной форме от организаций-изготовителей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A8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18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BCFA4AA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A5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об уровне цен, имеющиеся у органов государственной статистики, а также в средствах массовой информации и специальной литературе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7E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94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32A2ED7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D7B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Экспертные заключения (в том числе экспертов, привлеченных к работе в комиссии по поступлению и выбытию активов) о стоимости отдельных (аналогичных) объектов нефинансовых активов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49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0F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53A94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892B57B" w14:textId="641FCF2C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основании указанных данных средняя рыночная стоимость объекта оценки по состоянию на «__»</w:t>
      </w:r>
      <w:r w:rsidR="00AB17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____________</w:t>
      </w:r>
      <w:r w:rsidR="00AB1714">
        <w:rPr>
          <w:rFonts w:ascii="Times New Roman" w:hAnsi="Times New Roman" w:cs="Times New Roman"/>
          <w:color w:val="auto"/>
        </w:rPr>
        <w:t xml:space="preserve"> г</w:t>
      </w:r>
      <w:r>
        <w:rPr>
          <w:rFonts w:ascii="Times New Roman" w:hAnsi="Times New Roman" w:cs="Times New Roman"/>
          <w:color w:val="auto"/>
        </w:rPr>
        <w:t>. составляет</w:t>
      </w:r>
      <w:proofErr w:type="gramStart"/>
      <w:r>
        <w:rPr>
          <w:rFonts w:ascii="Times New Roman" w:hAnsi="Times New Roman" w:cs="Times New Roman"/>
          <w:color w:val="auto"/>
        </w:rPr>
        <w:t xml:space="preserve">_________ (_______________________________) </w:t>
      </w:r>
      <w:proofErr w:type="gramEnd"/>
      <w:r>
        <w:rPr>
          <w:rFonts w:ascii="Times New Roman" w:hAnsi="Times New Roman" w:cs="Times New Roman"/>
          <w:color w:val="auto"/>
        </w:rPr>
        <w:t xml:space="preserve">руб. </w:t>
      </w:r>
    </w:p>
    <w:p w14:paraId="5F8F1065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Данные о текущей (средней) рыночной цене подтверждены документально (прилагаются к протоколу). </w:t>
      </w:r>
    </w:p>
    <w:p w14:paraId="0E74D36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32DFC32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 Данные для расчета убытка от обесценения актива</w:t>
      </w:r>
    </w:p>
    <w:p w14:paraId="01C44CE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расчете убытка от обесценения указанного объекта комиссией используются следующие данные: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057"/>
        <w:gridCol w:w="3438"/>
        <w:gridCol w:w="1646"/>
        <w:gridCol w:w="3430"/>
      </w:tblGrid>
      <w:tr w:rsidR="004315EF" w14:paraId="65F09D11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A4F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Строка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6BD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Расчетные данные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9C9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Сумма, руб.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B7CB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Примечание</w:t>
            </w:r>
          </w:p>
        </w:tc>
      </w:tr>
      <w:tr w:rsidR="004315EF" w14:paraId="7948863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97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07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 объекта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E6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E4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2C0978B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DAE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163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Справедливая стоимость объекта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68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E5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1381BEE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23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663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Затраты на выбытие объекта*, в том числе: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3C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570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Данные строки заполняются только в случае принятия решения комиссии о выбытии объекта</w:t>
            </w:r>
          </w:p>
        </w:tc>
      </w:tr>
      <w:tr w:rsidR="004315EF" w14:paraId="0525A1C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D6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CD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демонтаж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FF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F8C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10FD48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2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13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упаковка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A8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174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C7A6DF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16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D7B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доставка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29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BA52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65DDA7C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CA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8D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прочие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7C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A273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90EDE7A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68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0C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 расходов на выбытие объекта (стр. 4 + 5 + 6 + 7)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0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2C8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B6D4420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6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55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Справедливая стоимость за вычетом затрат на выбытие (стр. 2 - стр. 8)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2B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3F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45D2966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5B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25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Убыток от обесценения объекта (стр. 1 - стр. 9)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7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8C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убытка указывается только при положительном значении (только в случае превышения остаточной стоимости над справедливой стоимостью за вычетом затрат на выбытие)</w:t>
            </w:r>
          </w:p>
        </w:tc>
      </w:tr>
    </w:tbl>
    <w:p w14:paraId="650A1AD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FB4F89B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 Данные о затратах на выбытие подтверждены документально (прилагаются к расчету). </w:t>
      </w:r>
    </w:p>
    <w:p w14:paraId="6CB2433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C9D7A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 Дополнительные сведения</w:t>
      </w:r>
    </w:p>
    <w:p w14:paraId="4B4E068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(При необходимости приводятся пояснения (таблицы) с учетом особенностей признания убытка,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предусмотренных </w:t>
      </w:r>
      <w:r>
        <w:rPr>
          <w:rFonts w:ascii="Times New Roman" w:hAnsi="Times New Roman" w:cs="Times New Roman"/>
          <w:b/>
          <w:color w:val="auto"/>
        </w:rPr>
        <w:t>п. 16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>17 СГС «Обесценение активов»</w:t>
      </w:r>
      <w:r>
        <w:rPr>
          <w:rFonts w:ascii="Times New Roman" w:hAnsi="Times New Roman" w:cs="Times New Roman"/>
          <w:color w:val="auto"/>
        </w:rPr>
        <w:t xml:space="preserve"> в отношении активов </w:t>
      </w:r>
      <w:proofErr w:type="spellStart"/>
      <w:r>
        <w:rPr>
          <w:rFonts w:ascii="Times New Roman" w:hAnsi="Times New Roman" w:cs="Times New Roman"/>
          <w:color w:val="auto"/>
        </w:rPr>
        <w:t>нГДП</w:t>
      </w:r>
      <w:proofErr w:type="spellEnd"/>
      <w:r>
        <w:rPr>
          <w:rFonts w:ascii="Times New Roman" w:hAnsi="Times New Roman" w:cs="Times New Roman"/>
          <w:color w:val="auto"/>
        </w:rPr>
        <w:t>, активов ГДП, единицы ГДП.)</w:t>
      </w:r>
    </w:p>
    <w:p w14:paraId="0B5D9528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02FDBC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 Решение комиссии 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315EF" w14:paraId="587C925D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8A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CB059E9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F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1242292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58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72CC0046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F0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A84C2E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6. Подписи членов комиссии, дата составления расчета</w:t>
      </w:r>
    </w:p>
    <w:p w14:paraId="42363CE9" w14:textId="77777777" w:rsidR="004315EF" w:rsidRDefault="004315EF" w:rsidP="004315EF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35CB8F6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7. Отметка о согласовании с собственником имущества </w:t>
      </w:r>
      <w:r>
        <w:rPr>
          <w:rFonts w:ascii="Times New Roman" w:hAnsi="Times New Roman" w:cs="Times New Roman"/>
          <w:color w:val="auto"/>
        </w:rPr>
        <w:t>(требуется в отношении имущества, которым учреждение не вправе распоряжаться самостоятельно).</w:t>
      </w:r>
    </w:p>
    <w:p w14:paraId="0CFEBFC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«Согласовано»</w:t>
      </w:r>
    </w:p>
    <w:p w14:paraId="240F8B2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</w:t>
      </w:r>
    </w:p>
    <w:p w14:paraId="28071916" w14:textId="0B13488E" w:rsidR="00B01DFE" w:rsidRDefault="004315EF" w:rsidP="00AB1714">
      <w:pPr>
        <w:widowControl/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</w:rPr>
        <w:t>(подпись уполномоченного лица, дата)</w:t>
      </w:r>
    </w:p>
    <w:sectPr w:rsidR="00B0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C0"/>
    <w:rsid w:val="00062F28"/>
    <w:rsid w:val="001E74D4"/>
    <w:rsid w:val="003B555B"/>
    <w:rsid w:val="003C3A35"/>
    <w:rsid w:val="004315EF"/>
    <w:rsid w:val="005924C0"/>
    <w:rsid w:val="00613F5A"/>
    <w:rsid w:val="00786021"/>
    <w:rsid w:val="00A10336"/>
    <w:rsid w:val="00AB1714"/>
    <w:rsid w:val="00B01DFE"/>
    <w:rsid w:val="00F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F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EF"/>
    <w:pPr>
      <w:keepNext/>
      <w:keepLines/>
      <w:widowControl/>
      <w:numPr>
        <w:numId w:val="1"/>
      </w:numPr>
      <w:suppressAutoHyphens w:val="0"/>
      <w:autoSpaceDE/>
      <w:autoSpaceDN/>
      <w:adjustRightInd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EF"/>
    <w:pPr>
      <w:widowControl/>
      <w:numPr>
        <w:ilvl w:val="1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color w:val="auto"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EF"/>
    <w:pPr>
      <w:widowControl/>
      <w:numPr>
        <w:ilvl w:val="2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color w:val="auto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EF"/>
    <w:pPr>
      <w:widowControl/>
      <w:numPr>
        <w:ilvl w:val="3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EF"/>
    <w:pPr>
      <w:keepNext/>
      <w:keepLines/>
      <w:widowControl/>
      <w:numPr>
        <w:ilvl w:val="4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EF"/>
    <w:pPr>
      <w:keepNext/>
      <w:keepLines/>
      <w:widowControl/>
      <w:numPr>
        <w:ilvl w:val="5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EF"/>
    <w:pPr>
      <w:keepNext/>
      <w:keepLines/>
      <w:widowControl/>
      <w:numPr>
        <w:ilvl w:val="6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EF"/>
    <w:pPr>
      <w:keepNext/>
      <w:keepLines/>
      <w:widowControl/>
      <w:numPr>
        <w:ilvl w:val="7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7"/>
    </w:pPr>
    <w:rPr>
      <w:rFonts w:ascii="Times New Roman" w:hAnsi="Times New Roman" w:cs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EF"/>
    <w:pPr>
      <w:keepNext/>
      <w:keepLines/>
      <w:widowControl/>
      <w:numPr>
        <w:ilvl w:val="8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8"/>
    </w:pPr>
    <w:rPr>
      <w:rFonts w:ascii="Times New Roman" w:hAnsi="Times New Roman" w:cs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5E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5EF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15EF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15EF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5E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5EF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315EF"/>
    <w:rPr>
      <w:rFonts w:ascii="Times New Roman" w:eastAsiaTheme="minorEastAsia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4315EF"/>
    <w:rPr>
      <w:rFonts w:ascii="Calibri" w:hAnsi="Calibri" w:cs="Calibri"/>
      <w:color w:val="000000"/>
      <w:lang w:val="en-US"/>
    </w:rPr>
  </w:style>
  <w:style w:type="paragraph" w:styleId="a4">
    <w:name w:val="List Paragraph"/>
    <w:basedOn w:val="a"/>
    <w:link w:val="a3"/>
    <w:uiPriority w:val="34"/>
    <w:qFormat/>
    <w:rsid w:val="004315EF"/>
    <w:pPr>
      <w:suppressAutoHyphens w:val="0"/>
      <w:spacing w:after="200" w:line="264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4315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1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714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F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EF"/>
    <w:pPr>
      <w:keepNext/>
      <w:keepLines/>
      <w:widowControl/>
      <w:numPr>
        <w:numId w:val="1"/>
      </w:numPr>
      <w:suppressAutoHyphens w:val="0"/>
      <w:autoSpaceDE/>
      <w:autoSpaceDN/>
      <w:adjustRightInd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EF"/>
    <w:pPr>
      <w:widowControl/>
      <w:numPr>
        <w:ilvl w:val="1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color w:val="auto"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EF"/>
    <w:pPr>
      <w:widowControl/>
      <w:numPr>
        <w:ilvl w:val="2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color w:val="auto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EF"/>
    <w:pPr>
      <w:widowControl/>
      <w:numPr>
        <w:ilvl w:val="3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EF"/>
    <w:pPr>
      <w:keepNext/>
      <w:keepLines/>
      <w:widowControl/>
      <w:numPr>
        <w:ilvl w:val="4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EF"/>
    <w:pPr>
      <w:keepNext/>
      <w:keepLines/>
      <w:widowControl/>
      <w:numPr>
        <w:ilvl w:val="5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EF"/>
    <w:pPr>
      <w:keepNext/>
      <w:keepLines/>
      <w:widowControl/>
      <w:numPr>
        <w:ilvl w:val="6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EF"/>
    <w:pPr>
      <w:keepNext/>
      <w:keepLines/>
      <w:widowControl/>
      <w:numPr>
        <w:ilvl w:val="7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7"/>
    </w:pPr>
    <w:rPr>
      <w:rFonts w:ascii="Times New Roman" w:hAnsi="Times New Roman" w:cs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EF"/>
    <w:pPr>
      <w:keepNext/>
      <w:keepLines/>
      <w:widowControl/>
      <w:numPr>
        <w:ilvl w:val="8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8"/>
    </w:pPr>
    <w:rPr>
      <w:rFonts w:ascii="Times New Roman" w:hAnsi="Times New Roman" w:cs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5E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5EF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15EF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15EF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5E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5EF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315EF"/>
    <w:rPr>
      <w:rFonts w:ascii="Times New Roman" w:eastAsiaTheme="minorEastAsia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4315EF"/>
    <w:rPr>
      <w:rFonts w:ascii="Calibri" w:hAnsi="Calibri" w:cs="Calibri"/>
      <w:color w:val="000000"/>
      <w:lang w:val="en-US"/>
    </w:rPr>
  </w:style>
  <w:style w:type="paragraph" w:styleId="a4">
    <w:name w:val="List Paragraph"/>
    <w:basedOn w:val="a"/>
    <w:link w:val="a3"/>
    <w:uiPriority w:val="34"/>
    <w:qFormat/>
    <w:rsid w:val="004315EF"/>
    <w:pPr>
      <w:suppressAutoHyphens w:val="0"/>
      <w:spacing w:after="200" w:line="264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4315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1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714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BUHSLG</dc:creator>
  <cp:lastModifiedBy>BUHFAE</cp:lastModifiedBy>
  <cp:revision>10</cp:revision>
  <cp:lastPrinted>2023-03-27T07:00:00Z</cp:lastPrinted>
  <dcterms:created xsi:type="dcterms:W3CDTF">2023-03-09T23:36:00Z</dcterms:created>
  <dcterms:modified xsi:type="dcterms:W3CDTF">2023-05-15T00:08:00Z</dcterms:modified>
</cp:coreProperties>
</file>