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33" w:rsidRPr="005E4488" w:rsidRDefault="005E4488">
      <w:pPr>
        <w:jc w:val="center"/>
        <w:rPr>
          <w:b/>
          <w:sz w:val="28"/>
          <w:szCs w:val="28"/>
        </w:rPr>
      </w:pPr>
      <w:r w:rsidRPr="005E4488">
        <w:rPr>
          <w:b/>
          <w:sz w:val="28"/>
          <w:szCs w:val="28"/>
        </w:rPr>
        <w:t xml:space="preserve">Пояснительная записка к прогнозу </w:t>
      </w:r>
      <w:proofErr w:type="gramStart"/>
      <w:r w:rsidRPr="005E4488">
        <w:rPr>
          <w:b/>
          <w:sz w:val="28"/>
          <w:szCs w:val="28"/>
        </w:rPr>
        <w:t>социально-экономического</w:t>
      </w:r>
      <w:proofErr w:type="gramEnd"/>
      <w:r w:rsidRPr="005E4488">
        <w:rPr>
          <w:b/>
          <w:sz w:val="28"/>
          <w:szCs w:val="28"/>
        </w:rPr>
        <w:t xml:space="preserve"> развитии</w:t>
      </w:r>
    </w:p>
    <w:p w:rsidR="00614433" w:rsidRPr="005E4488" w:rsidRDefault="005E4488">
      <w:pPr>
        <w:jc w:val="center"/>
        <w:rPr>
          <w:b/>
          <w:sz w:val="28"/>
          <w:szCs w:val="28"/>
        </w:rPr>
      </w:pPr>
      <w:r w:rsidRPr="005E4488">
        <w:rPr>
          <w:b/>
          <w:sz w:val="28"/>
          <w:szCs w:val="28"/>
        </w:rPr>
        <w:t xml:space="preserve">Михайловского муниципального округа </w:t>
      </w:r>
    </w:p>
    <w:p w:rsidR="00614433" w:rsidRPr="005E4488" w:rsidRDefault="005E4488">
      <w:pPr>
        <w:jc w:val="center"/>
        <w:rPr>
          <w:b/>
          <w:sz w:val="28"/>
          <w:szCs w:val="28"/>
        </w:rPr>
      </w:pPr>
      <w:r w:rsidRPr="005E4488">
        <w:rPr>
          <w:b/>
          <w:sz w:val="28"/>
          <w:szCs w:val="28"/>
        </w:rPr>
        <w:t>на 2025 год и на плановый период до 2027 года</w:t>
      </w:r>
    </w:p>
    <w:p w:rsidR="00614433" w:rsidRPr="005E4488" w:rsidRDefault="00614433">
      <w:pPr>
        <w:jc w:val="center"/>
        <w:rPr>
          <w:b/>
          <w:color w:val="FF0000"/>
          <w:sz w:val="28"/>
          <w:szCs w:val="28"/>
        </w:rPr>
      </w:pPr>
    </w:p>
    <w:p w:rsidR="00614433" w:rsidRPr="005E4488" w:rsidRDefault="005E4488">
      <w:pPr>
        <w:pStyle w:val="afa"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E4488">
        <w:rPr>
          <w:sz w:val="28"/>
          <w:szCs w:val="28"/>
        </w:rPr>
        <w:t xml:space="preserve">Прогноз социально-экономического развития Михайловского муниципального округа на среднесрочный период 2025-2027 гг. (далее – Прогноз) разработан на основании Бюджетного кодекса Российской Федерации и Закона Приморского края от 24 апреля 2024 года № 549-КЗ </w:t>
      </w:r>
      <w:r w:rsidRPr="005E4488">
        <w:rPr>
          <w:sz w:val="28"/>
          <w:szCs w:val="28"/>
        </w:rPr>
        <w:t xml:space="preserve">«О Михайловском муниципальном округе Приморского края» в соответствии </w:t>
      </w:r>
      <w:r w:rsidRPr="005E4488">
        <w:rPr>
          <w:color w:val="000000" w:themeColor="text1"/>
          <w:sz w:val="28"/>
          <w:szCs w:val="28"/>
        </w:rPr>
        <w:t>с Порядком разработки и корректировки прогноза социально-экономического развития Михайловского муниципального округа, утверждённого постановление администрации Михайловского муниципально</w:t>
      </w:r>
      <w:r w:rsidRPr="005E4488">
        <w:rPr>
          <w:color w:val="000000" w:themeColor="text1"/>
          <w:sz w:val="28"/>
          <w:szCs w:val="28"/>
        </w:rPr>
        <w:t>го района от 23.05.2023 № 647-па (в редакции</w:t>
      </w:r>
      <w:proofErr w:type="gramEnd"/>
      <w:r w:rsidRPr="005E4488">
        <w:rPr>
          <w:color w:val="000000" w:themeColor="text1"/>
          <w:sz w:val="28"/>
          <w:szCs w:val="28"/>
        </w:rPr>
        <w:t xml:space="preserve"> от 19.07.2024 № 853-па).</w:t>
      </w:r>
    </w:p>
    <w:p w:rsidR="00614433" w:rsidRPr="005E4488" w:rsidRDefault="005E4488">
      <w:pPr>
        <w:pStyle w:val="afa"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Прогноз социально-экономического развития Михайловского муниципального округа на среднесрочный период 2025-2027 гг. разработан путём уточнения параметров 2025 и 2026 годов и добавления п</w:t>
      </w:r>
      <w:r w:rsidRPr="005E4488">
        <w:rPr>
          <w:color w:val="000000" w:themeColor="text1"/>
          <w:sz w:val="28"/>
          <w:szCs w:val="28"/>
        </w:rPr>
        <w:t>араметров 2027 года на основе анализа тенденций развития экономики и состояния социальной сферы за предшествующий период и оценки показателей социально-экономического развития в 2024 году. При разработке основных параметров прогноза использованы отчетные д</w:t>
      </w:r>
      <w:r w:rsidRPr="005E4488">
        <w:rPr>
          <w:color w:val="000000" w:themeColor="text1"/>
          <w:sz w:val="28"/>
          <w:szCs w:val="28"/>
        </w:rPr>
        <w:t>анные, предоставленные государственной статистикой, информация основных предприятий реального сектора экономики района и материалы структурных подразделений администрации района.</w:t>
      </w:r>
    </w:p>
    <w:p w:rsidR="00614433" w:rsidRPr="005E4488" w:rsidRDefault="005E4488">
      <w:pPr>
        <w:pStyle w:val="afa"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Расчёт основных показателей развития произведен в двух вариантах: консерватив</w:t>
      </w:r>
      <w:r w:rsidRPr="005E4488">
        <w:rPr>
          <w:color w:val="000000" w:themeColor="text1"/>
          <w:sz w:val="28"/>
          <w:szCs w:val="28"/>
        </w:rPr>
        <w:t xml:space="preserve">ный (допускающий возможность ухудшения внешнеэкономических условий) и базовый (описывает наиболее вероятный сценарий развития экономики с учетом ожидаемых внешних условий и принимаемых мер, обеспечивающих восстановление занятости и доходов населения, рост </w:t>
      </w:r>
      <w:r w:rsidRPr="005E4488">
        <w:rPr>
          <w:color w:val="000000" w:themeColor="text1"/>
          <w:sz w:val="28"/>
          <w:szCs w:val="28"/>
        </w:rPr>
        <w:t>экономики).</w:t>
      </w:r>
    </w:p>
    <w:p w:rsidR="00614433" w:rsidRPr="005E4488" w:rsidRDefault="005E4488">
      <w:pPr>
        <w:pStyle w:val="afa"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E4488">
        <w:rPr>
          <w:b/>
          <w:sz w:val="28"/>
          <w:szCs w:val="28"/>
        </w:rPr>
        <w:t>1. Демография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bCs/>
          <w:sz w:val="28"/>
          <w:szCs w:val="28"/>
        </w:rPr>
        <w:lastRenderedPageBreak/>
        <w:t>По информации государственных органов статистики на начало 2023 года на территории Михайловского муниципального района проживало 28755 человек.</w:t>
      </w:r>
      <w:r w:rsidRPr="005E4488">
        <w:rPr>
          <w:color w:val="000000" w:themeColor="text1"/>
          <w:sz w:val="28"/>
          <w:szCs w:val="28"/>
        </w:rPr>
        <w:t xml:space="preserve"> С начала 2023 года численность населения снизилась за счёт естественной убыли (превыше</w:t>
      </w:r>
      <w:r w:rsidRPr="005E4488">
        <w:rPr>
          <w:color w:val="000000" w:themeColor="text1"/>
          <w:sz w:val="28"/>
          <w:szCs w:val="28"/>
        </w:rPr>
        <w:t xml:space="preserve">ние числа умерших над </w:t>
      </w:r>
      <w:proofErr w:type="gramStart"/>
      <w:r w:rsidRPr="005E4488">
        <w:rPr>
          <w:color w:val="000000" w:themeColor="text1"/>
          <w:sz w:val="28"/>
          <w:szCs w:val="28"/>
        </w:rPr>
        <w:t>числом</w:t>
      </w:r>
      <w:proofErr w:type="gramEnd"/>
      <w:r w:rsidRPr="005E4488">
        <w:rPr>
          <w:color w:val="000000" w:themeColor="text1"/>
          <w:sz w:val="28"/>
          <w:szCs w:val="28"/>
        </w:rPr>
        <w:t xml:space="preserve"> родившихся) - на 237 человек, за счёт миграционного оттока (превышение числа уехавших над числом прибывших на территорию района) – на 31 человека.</w:t>
      </w:r>
      <w:r w:rsidRPr="005E4488">
        <w:rPr>
          <w:color w:val="000000" w:themeColor="text1"/>
          <w:sz w:val="28"/>
          <w:szCs w:val="28"/>
        </w:rPr>
        <w:t xml:space="preserve"> 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FF0000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Следует отметить, что миграционный отток сокращён в 5,2 раз (на 130 человек) по</w:t>
      </w:r>
      <w:r w:rsidRPr="005E4488">
        <w:rPr>
          <w:color w:val="000000" w:themeColor="text1"/>
          <w:sz w:val="28"/>
          <w:szCs w:val="28"/>
        </w:rPr>
        <w:t xml:space="preserve"> сравнению с предыдущим годом. Естественная убыль населения сохраняет тенденцию роста, в </w:t>
      </w:r>
      <w:r w:rsidRPr="005E4488">
        <w:rPr>
          <w:color w:val="000000" w:themeColor="text1"/>
          <w:sz w:val="28"/>
          <w:szCs w:val="28"/>
        </w:rPr>
        <w:t xml:space="preserve">2023 году  она выросла к уровню предыдущего года на 22,8 % (на 44 человека). </w:t>
      </w:r>
    </w:p>
    <w:p w:rsidR="00614433" w:rsidRPr="005E4488" w:rsidRDefault="005E4488">
      <w:pPr>
        <w:spacing w:line="436" w:lineRule="exact"/>
        <w:ind w:firstLine="708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Численность населения на начало 2024 года составила 28474 человека, в том числе городског</w:t>
      </w:r>
      <w:r w:rsidRPr="005E4488">
        <w:rPr>
          <w:color w:val="000000" w:themeColor="text1"/>
          <w:sz w:val="28"/>
          <w:szCs w:val="28"/>
        </w:rPr>
        <w:t xml:space="preserve">о - 7025 человек, сельского - 21449 человек. </w:t>
      </w:r>
      <w:r w:rsidRPr="005E4488">
        <w:rPr>
          <w:color w:val="000000" w:themeColor="text1"/>
          <w:sz w:val="28"/>
          <w:szCs w:val="28"/>
        </w:rPr>
        <w:t>По оценке, выполненной министерством экономического развития Приморского края, по состоянию на 01,05.2024 численность населения Михайловского муниципального округа с начала 2024 года сократилась на 0,28 % и сост</w:t>
      </w:r>
      <w:r w:rsidRPr="005E4488">
        <w:rPr>
          <w:color w:val="000000" w:themeColor="text1"/>
          <w:sz w:val="28"/>
          <w:szCs w:val="28"/>
        </w:rPr>
        <w:t>авила 28,395 человек.</w:t>
      </w:r>
    </w:p>
    <w:p w:rsidR="00614433" w:rsidRPr="005E4488" w:rsidRDefault="005E4488">
      <w:pPr>
        <w:spacing w:line="436" w:lineRule="exact"/>
        <w:ind w:firstLine="708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Создание в перспективе новых рабочих мест </w:t>
      </w:r>
      <w:r w:rsidRPr="005E4488">
        <w:rPr>
          <w:rFonts w:eastAsia="SimSun"/>
          <w:color w:val="000000" w:themeColor="text1"/>
          <w:sz w:val="28"/>
          <w:szCs w:val="28"/>
          <w:lang w:eastAsia="ar-SA"/>
        </w:rPr>
        <w:t>позволит изменить тенденцию</w:t>
      </w:r>
      <w:r w:rsidRPr="005E4488">
        <w:rPr>
          <w:color w:val="000000" w:themeColor="text1"/>
          <w:sz w:val="28"/>
          <w:szCs w:val="28"/>
        </w:rPr>
        <w:t xml:space="preserve"> снижения численности населения района. По мере обеспечения устойчивых темпов роста производства в реальном секторе экономики и повышения на этой основе жизненного у</w:t>
      </w:r>
      <w:r w:rsidRPr="005E4488">
        <w:rPr>
          <w:color w:val="000000" w:themeColor="text1"/>
          <w:sz w:val="28"/>
          <w:szCs w:val="28"/>
        </w:rPr>
        <w:t>ровня населения предусматривается стабилизация численности жителей района за счёт прекращения миграционного оттока.</w:t>
      </w:r>
    </w:p>
    <w:p w:rsidR="00614433" w:rsidRPr="005E4488" w:rsidRDefault="00614433">
      <w:pPr>
        <w:spacing w:line="436" w:lineRule="exact"/>
        <w:ind w:firstLine="708"/>
        <w:jc w:val="both"/>
        <w:rPr>
          <w:color w:val="000000" w:themeColor="text1"/>
          <w:sz w:val="28"/>
          <w:szCs w:val="28"/>
        </w:rPr>
      </w:pPr>
    </w:p>
    <w:p w:rsidR="00614433" w:rsidRPr="005E4488" w:rsidRDefault="005E4488">
      <w:pPr>
        <w:pStyle w:val="afa"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E4488">
        <w:rPr>
          <w:b/>
          <w:sz w:val="28"/>
          <w:szCs w:val="28"/>
        </w:rPr>
        <w:t>2. Промышленное производство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Рост объёмов отгруженных товаров в базовом 2023 году составил 113,8</w:t>
      </w:r>
      <w:r w:rsidRPr="005E4488">
        <w:rPr>
          <w:color w:val="000000" w:themeColor="text1"/>
          <w:sz w:val="28"/>
          <w:szCs w:val="28"/>
        </w:rPr>
        <w:t xml:space="preserve"> % к уровню 2022 года. Всего отгружено товаров собственного производства по чистым видам деятельности на сумму 12,9 млрд. рублей. Отгрузка продукции обрабатывающих производств выросла на 35,7 %</w:t>
      </w:r>
      <w:r w:rsidRPr="005E4488">
        <w:rPr>
          <w:color w:val="000000" w:themeColor="text1"/>
          <w:sz w:val="28"/>
          <w:szCs w:val="28"/>
        </w:rPr>
        <w:t xml:space="preserve">. </w:t>
      </w:r>
      <w:r w:rsidRPr="005E4488">
        <w:rPr>
          <w:color w:val="000000" w:themeColor="text1"/>
          <w:sz w:val="28"/>
          <w:szCs w:val="28"/>
          <w:highlight w:val="white"/>
        </w:rPr>
        <w:t>На 4,1 % увеличилось производство комбикормов, в 1,6 раз – по</w:t>
      </w:r>
      <w:r w:rsidRPr="005E4488">
        <w:rPr>
          <w:color w:val="000000" w:themeColor="text1"/>
          <w:sz w:val="28"/>
          <w:szCs w:val="28"/>
          <w:highlight w:val="white"/>
        </w:rPr>
        <w:t>шив спецодежды. Вместе с тем сокращен объём добычи угля на 12,8 % к уровню прошлого года и свинины на 6,0 %.</w:t>
      </w:r>
      <w:r w:rsidRPr="005E4488">
        <w:rPr>
          <w:color w:val="000000" w:themeColor="text1"/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</w:rPr>
        <w:t xml:space="preserve">  Индекс промышленного производства по итогам 2023 года составил 97,0 %. 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5E4488">
        <w:rPr>
          <w:color w:val="000000" w:themeColor="text1"/>
          <w:sz w:val="28"/>
          <w:szCs w:val="28"/>
        </w:rPr>
        <w:lastRenderedPageBreak/>
        <w:t>В текущем 2024 году сохраняется тенденция снижения темпов производства пр</w:t>
      </w:r>
      <w:r w:rsidRPr="005E4488">
        <w:rPr>
          <w:color w:val="000000" w:themeColor="text1"/>
          <w:sz w:val="28"/>
          <w:szCs w:val="28"/>
        </w:rPr>
        <w:t xml:space="preserve">омышленной продукции. По итогам пяти месяцев текущего года </w:t>
      </w:r>
      <w:r w:rsidRPr="005E4488">
        <w:rPr>
          <w:color w:val="000000" w:themeColor="text1"/>
          <w:sz w:val="28"/>
          <w:szCs w:val="28"/>
        </w:rPr>
        <w:t>снижение объёмов отгруженных товаров собственного производства по чистым видам деятельности составило 21,9 %. Снижение объёмов отгрузки продукции обрабатывающих произво</w:t>
      </w:r>
      <w:proofErr w:type="gramStart"/>
      <w:r w:rsidRPr="005E4488">
        <w:rPr>
          <w:color w:val="000000" w:themeColor="text1"/>
          <w:sz w:val="28"/>
          <w:szCs w:val="28"/>
        </w:rPr>
        <w:t>дств пр</w:t>
      </w:r>
      <w:proofErr w:type="gramEnd"/>
      <w:r w:rsidRPr="005E4488">
        <w:rPr>
          <w:color w:val="000000" w:themeColor="text1"/>
          <w:sz w:val="28"/>
          <w:szCs w:val="28"/>
        </w:rPr>
        <w:t>оизошло на 47,9 %</w:t>
      </w:r>
      <w:r w:rsidRPr="005E4488">
        <w:rPr>
          <w:color w:val="000000" w:themeColor="text1"/>
          <w:sz w:val="28"/>
          <w:szCs w:val="28"/>
        </w:rPr>
        <w:t>.</w:t>
      </w:r>
      <w:r w:rsidRPr="005E4488">
        <w:rPr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  <w:highlight w:val="white"/>
        </w:rPr>
        <w:t xml:space="preserve">На </w:t>
      </w:r>
      <w:r w:rsidRPr="005E4488">
        <w:rPr>
          <w:color w:val="000000" w:themeColor="text1"/>
          <w:sz w:val="28"/>
          <w:szCs w:val="28"/>
          <w:highlight w:val="white"/>
        </w:rPr>
        <w:t xml:space="preserve">9,8 % снижена добыча бурого угля,  на 78,6 % – производство парной свинины, на 71,1 % - производство комбикормов. </w:t>
      </w:r>
      <w:r w:rsidRPr="005E4488">
        <w:rPr>
          <w:color w:val="000000" w:themeColor="text1"/>
          <w:sz w:val="28"/>
          <w:szCs w:val="28"/>
        </w:rPr>
        <w:t xml:space="preserve">Основная причина – возникновение в 2023 году чрезвычайных ситуаций природного и биологического характера, </w:t>
      </w:r>
      <w:r w:rsidRPr="005E4488">
        <w:rPr>
          <w:color w:val="000000" w:themeColor="text1"/>
          <w:sz w:val="28"/>
          <w:szCs w:val="28"/>
          <w:highlight w:val="white"/>
        </w:rPr>
        <w:t>повлекших гибель посевов сельскохозя</w:t>
      </w:r>
      <w:r w:rsidRPr="005E4488">
        <w:rPr>
          <w:color w:val="000000" w:themeColor="text1"/>
          <w:sz w:val="28"/>
          <w:szCs w:val="28"/>
          <w:highlight w:val="white"/>
        </w:rPr>
        <w:t>йственных растений и уничтожение поголовья сельскохозяйственных животных, т.е. существенное сокращение сырьевой базы промышленного производства.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  <w:highlight w:val="white"/>
        </w:rPr>
        <w:t xml:space="preserve"> </w:t>
      </w:r>
      <w:r w:rsidRPr="005E4488">
        <w:rPr>
          <w:color w:val="000000" w:themeColor="text1"/>
          <w:sz w:val="28"/>
          <w:szCs w:val="28"/>
        </w:rPr>
        <w:t xml:space="preserve">Перспективы развития промышленности связаны с расширением ассортимента выпускаемой продукции с использованием </w:t>
      </w:r>
      <w:r w:rsidRPr="005E4488">
        <w:rPr>
          <w:color w:val="000000" w:themeColor="text1"/>
          <w:sz w:val="28"/>
          <w:szCs w:val="28"/>
        </w:rPr>
        <w:t xml:space="preserve">местного сырья. Основной точкой роста является увеличение выпуска мясных полуфабрикатов из свинины местного производства. До 2027 года планируемый рост составит 223,0 % к достигнутому уровню 2023 года. </w:t>
      </w:r>
      <w:r w:rsidRPr="005E4488">
        <w:rPr>
          <w:color w:val="000000" w:themeColor="text1"/>
          <w:sz w:val="28"/>
          <w:szCs w:val="28"/>
        </w:rPr>
        <w:t xml:space="preserve">Производство  комбикормов предусматривается увеличить </w:t>
      </w:r>
      <w:r w:rsidRPr="005E4488">
        <w:rPr>
          <w:color w:val="000000" w:themeColor="text1"/>
          <w:sz w:val="28"/>
          <w:szCs w:val="28"/>
        </w:rPr>
        <w:t>в 7,8 раз.</w:t>
      </w:r>
    </w:p>
    <w:p w:rsidR="00614433" w:rsidRPr="005E4488" w:rsidRDefault="005E4488">
      <w:pPr>
        <w:pStyle w:val="afa"/>
        <w:widowControl w:val="0"/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Предприятиями, ведущим на территории района угледобычу, в базовом 2023 году допущено снижение объемов производства на 12,8 %. По оценке текущего года и в прогнозируемом периоде 2025-2027 гг. рост объема добычи угля составит 112,9 %.</w:t>
      </w:r>
    </w:p>
    <w:p w:rsidR="00614433" w:rsidRPr="005E4488" w:rsidRDefault="005E4488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E4488">
        <w:rPr>
          <w:b/>
          <w:color w:val="000000" w:themeColor="text1"/>
          <w:sz w:val="28"/>
          <w:szCs w:val="28"/>
        </w:rPr>
        <w:t xml:space="preserve">3. Сельское </w:t>
      </w:r>
      <w:r w:rsidRPr="005E4488">
        <w:rPr>
          <w:b/>
          <w:color w:val="000000" w:themeColor="text1"/>
          <w:sz w:val="28"/>
          <w:szCs w:val="28"/>
        </w:rPr>
        <w:t>хозяйство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Объёмы производства сельскохозяйственной продукции в базовом периоде сокращены к уровню 2022 года на 12,3 %, в том числе по отрасли растениеводство – на 26,6 %, по отрасли животноводство – на 3,9 %. </w:t>
      </w:r>
    </w:p>
    <w:p w:rsidR="00614433" w:rsidRPr="005E4488" w:rsidRDefault="005E4488">
      <w:pPr>
        <w:spacing w:line="436" w:lineRule="exact"/>
        <w:ind w:firstLine="708"/>
        <w:jc w:val="both"/>
        <w:rPr>
          <w:sz w:val="28"/>
          <w:szCs w:val="28"/>
        </w:rPr>
      </w:pPr>
      <w:r w:rsidRPr="005E4488">
        <w:rPr>
          <w:sz w:val="28"/>
          <w:szCs w:val="28"/>
        </w:rPr>
        <w:t>В августе 2023 года в результате прохождения очень сильных дождей оказались затоплены посевы сельскохозяйственных культур, полностью утрачен урожай ранних зерновых, картофеля, овощей на площади 3 735 га. Ущерб по фактическим затратам составил 107,4 млн. ру</w:t>
      </w:r>
      <w:r w:rsidRPr="005E4488">
        <w:rPr>
          <w:sz w:val="28"/>
          <w:szCs w:val="28"/>
        </w:rPr>
        <w:t xml:space="preserve">блей. Значительно пострадали посевы сои и кукурузы на зерно на площади 24 268 га, что  неизбежно привело  к снижению урожайности и валовых  сборов.  </w:t>
      </w:r>
    </w:p>
    <w:p w:rsidR="00614433" w:rsidRPr="005E4488" w:rsidRDefault="005E4488">
      <w:pPr>
        <w:spacing w:line="436" w:lineRule="exact"/>
        <w:ind w:firstLine="708"/>
        <w:jc w:val="both"/>
        <w:rPr>
          <w:sz w:val="28"/>
          <w:szCs w:val="28"/>
        </w:rPr>
      </w:pPr>
      <w:r w:rsidRPr="005E4488">
        <w:rPr>
          <w:sz w:val="28"/>
          <w:szCs w:val="28"/>
        </w:rPr>
        <w:t>Последствием двух зафиксирован</w:t>
      </w:r>
      <w:r w:rsidRPr="005E4488">
        <w:rPr>
          <w:sz w:val="28"/>
          <w:szCs w:val="28"/>
        </w:rPr>
        <w:t xml:space="preserve">ных вспышек африканской чумы свиней стало сокращение поголовья свиней в хозяйствах всех категорий в 3,5 </w:t>
      </w:r>
      <w:r w:rsidRPr="005E4488">
        <w:rPr>
          <w:sz w:val="28"/>
          <w:szCs w:val="28"/>
        </w:rPr>
        <w:lastRenderedPageBreak/>
        <w:t xml:space="preserve">раза. Утилизированы свыше 244 тыс. голов свиней на 4-х </w:t>
      </w:r>
      <w:proofErr w:type="spellStart"/>
      <w:r w:rsidRPr="005E4488">
        <w:rPr>
          <w:sz w:val="28"/>
          <w:szCs w:val="28"/>
        </w:rPr>
        <w:t>свинокомплексах</w:t>
      </w:r>
      <w:proofErr w:type="spellEnd"/>
      <w:r w:rsidRPr="005E4488">
        <w:rPr>
          <w:sz w:val="28"/>
          <w:szCs w:val="28"/>
        </w:rPr>
        <w:t xml:space="preserve"> ООО «</w:t>
      </w:r>
      <w:proofErr w:type="spellStart"/>
      <w:r w:rsidRPr="005E4488">
        <w:rPr>
          <w:sz w:val="28"/>
          <w:szCs w:val="28"/>
        </w:rPr>
        <w:t>Русагро</w:t>
      </w:r>
      <w:proofErr w:type="spellEnd"/>
      <w:r w:rsidRPr="005E4488">
        <w:rPr>
          <w:sz w:val="28"/>
          <w:szCs w:val="28"/>
        </w:rPr>
        <w:t xml:space="preserve"> Приморье» и более 100 голов – в личных подсобных хозяйствах граждан.</w:t>
      </w:r>
    </w:p>
    <w:p w:rsidR="00614433" w:rsidRPr="005E4488" w:rsidRDefault="005E4488">
      <w:pPr>
        <w:spacing w:line="39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В 1 квартале текущего 2024 года снижение производства продукции сельского хозяйства произошло на 40 %, в том числе по отрасли животноводства – на 71,7 %. Сокращено производство мяса в живом весе в 3,8 раза. </w:t>
      </w:r>
      <w:r w:rsidRPr="005E4488">
        <w:rPr>
          <w:color w:val="000000" w:themeColor="text1"/>
          <w:sz w:val="28"/>
          <w:szCs w:val="28"/>
        </w:rPr>
        <w:t>В связи с неблагоприятными погодными условиями п</w:t>
      </w:r>
      <w:r w:rsidRPr="005E4488">
        <w:rPr>
          <w:color w:val="000000" w:themeColor="text1"/>
          <w:sz w:val="28"/>
          <w:szCs w:val="28"/>
        </w:rPr>
        <w:t xml:space="preserve">роизошло существенное отставание сроков завершения </w:t>
      </w:r>
      <w:proofErr w:type="gramStart"/>
      <w:r w:rsidRPr="005E4488">
        <w:rPr>
          <w:color w:val="000000" w:themeColor="text1"/>
          <w:sz w:val="28"/>
          <w:szCs w:val="28"/>
        </w:rPr>
        <w:t>посевной компании</w:t>
      </w:r>
      <w:proofErr w:type="gramEnd"/>
      <w:r w:rsidRPr="005E4488">
        <w:rPr>
          <w:color w:val="000000" w:themeColor="text1"/>
          <w:sz w:val="28"/>
          <w:szCs w:val="28"/>
        </w:rPr>
        <w:t xml:space="preserve"> 2024 года. Не завершён посев кукурузы на зерно на площади 1 500 га, сои – на площади 19 000 га. Объявлен режим ЧС.  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Развитие овощеводства закрытого грунта позволило обеспечить в 1 кварта</w:t>
      </w:r>
      <w:r w:rsidRPr="005E4488">
        <w:rPr>
          <w:color w:val="000000" w:themeColor="text1"/>
          <w:sz w:val="28"/>
          <w:szCs w:val="28"/>
        </w:rPr>
        <w:t>ле 2024 года рост продукции растениеводства в 1,6 раз. В январе-марте в тепличном комплексе ООО «НК «Лотос» выращено 2,7 тыс. тонн овощей (томатов, огурцов, салата листового).</w:t>
      </w:r>
    </w:p>
    <w:p w:rsidR="00614433" w:rsidRPr="005E4488" w:rsidRDefault="005E4488">
      <w:pPr>
        <w:spacing w:line="436" w:lineRule="exact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По предварительной оценке в 2024 году производство продукции сельского хозяйства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 на территории района составит 7767,8 млн. рублей или 62 % к уровню 2023 года.  Продукция отрасли животноводства в текущем году снизится более чем в 2 раза в сопоставимой оценке. Уже в 2025 год</w:t>
      </w:r>
      <w:proofErr w:type="gramStart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у ООО</w:t>
      </w:r>
      <w:proofErr w:type="gramEnd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 «</w:t>
      </w:r>
      <w:proofErr w:type="spellStart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Русагро</w:t>
      </w:r>
      <w:proofErr w:type="spellEnd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 Приморье» предусматривает завоз племенного погол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овья свиней из других регионов России. В прогнозируемом периоде 2025-2027 гг. за счёт собственного воспроизводства 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предприятие планирует выйти на полную мощность (80 тыс. тонн мяса в живом весе в год).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Рост объёмов продукции сельского хозяйства в прогнозир</w:t>
      </w:r>
      <w:r w:rsidRPr="005E4488">
        <w:rPr>
          <w:color w:val="000000" w:themeColor="text1"/>
          <w:sz w:val="28"/>
          <w:szCs w:val="28"/>
        </w:rPr>
        <w:t>уемом периоде  в рамках базового варианта развития в 2027 году составит 170,1 % к уровню 2023 года, в первую очередь, за счёт роста объёмов продукции животноводства в 1,8 раз. Рост объёмов растениеводческой продукции будет обеспечен, в первую очередь, за с</w:t>
      </w:r>
      <w:r w:rsidRPr="005E4488">
        <w:rPr>
          <w:color w:val="000000" w:themeColor="text1"/>
          <w:sz w:val="28"/>
          <w:szCs w:val="28"/>
        </w:rPr>
        <w:t>чёт более интенсивного использования биологического потенциала сельскохозяйственных культур. Основной точкой роста в отрасли по-прежнему является создание ТОР «Михайловский». Основные показатели по отрасли сформированы на основе сведений, полученных от пре</w:t>
      </w:r>
      <w:r w:rsidRPr="005E4488">
        <w:rPr>
          <w:color w:val="000000" w:themeColor="text1"/>
          <w:sz w:val="28"/>
          <w:szCs w:val="28"/>
        </w:rPr>
        <w:t xml:space="preserve">дприятий-резидентов ТОР «Михайловский». В прогнозируемом периоде предусматривается строительство 2-ой очереди самого крупного на Дальнем Востоке тепличного комплекса для </w:t>
      </w:r>
      <w:r w:rsidRPr="005E4488">
        <w:rPr>
          <w:color w:val="000000" w:themeColor="text1"/>
          <w:sz w:val="28"/>
          <w:szCs w:val="28"/>
        </w:rPr>
        <w:lastRenderedPageBreak/>
        <w:t>выращивания экологически чистых овощей с использованием современных технологий тепличн</w:t>
      </w:r>
      <w:r w:rsidRPr="005E4488">
        <w:rPr>
          <w:color w:val="000000" w:themeColor="text1"/>
          <w:sz w:val="28"/>
          <w:szCs w:val="28"/>
        </w:rPr>
        <w:t xml:space="preserve">ого производства 4 поколения (ООО «Галатея»). </w:t>
      </w:r>
    </w:p>
    <w:p w:rsidR="00614433" w:rsidRPr="005E4488" w:rsidRDefault="005E4488">
      <w:pPr>
        <w:spacing w:line="436" w:lineRule="exac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В прогнозируемом периоде сохранятся существующие риски недостижения запланированных показателей:</w:t>
      </w:r>
    </w:p>
    <w:p w:rsidR="00614433" w:rsidRPr="005E4488" w:rsidRDefault="005E4488">
      <w:pPr>
        <w:spacing w:line="436" w:lineRule="exac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-  трудности с обновлением сельскохозяйственной техники и поставкой запасных частей в условиях применяемых внешн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их санкций</w:t>
      </w:r>
      <w:r w:rsidRPr="005E4488">
        <w:rPr>
          <w:rFonts w:eastAsia="Calibri"/>
          <w:color w:val="000000" w:themeColor="text1"/>
          <w:sz w:val="28"/>
          <w:szCs w:val="28"/>
        </w:rPr>
        <w:t>;</w:t>
      </w:r>
    </w:p>
    <w:p w:rsidR="00614433" w:rsidRPr="005E4488" w:rsidRDefault="005E4488">
      <w:pPr>
        <w:spacing w:line="436" w:lineRule="exac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E4488">
        <w:rPr>
          <w:rFonts w:eastAsia="Calibri"/>
          <w:color w:val="000000" w:themeColor="text1"/>
          <w:sz w:val="28"/>
          <w:szCs w:val="28"/>
        </w:rPr>
        <w:t xml:space="preserve">- 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высокие цены на пестициды и </w:t>
      </w:r>
      <w:proofErr w:type="spellStart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агрохимикаты</w:t>
      </w:r>
      <w:proofErr w:type="spellEnd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, отказ сельхозпроизводителей от некоторых обязательных приёмов в технологии выращивания с/х культур. </w:t>
      </w:r>
    </w:p>
    <w:p w:rsidR="00614433" w:rsidRPr="005E4488" w:rsidRDefault="00614433">
      <w:pPr>
        <w:spacing w:line="360" w:lineRule="auto"/>
        <w:ind w:firstLine="709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614433" w:rsidRPr="005E4488" w:rsidRDefault="00614433">
      <w:pPr>
        <w:spacing w:line="360" w:lineRule="auto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:rsidR="00614433" w:rsidRPr="005E4488" w:rsidRDefault="005E4488">
      <w:pPr>
        <w:spacing w:line="360" w:lineRule="auto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5E4488">
        <w:rPr>
          <w:rFonts w:eastAsia="Calibri"/>
          <w:b/>
          <w:color w:val="000000" w:themeColor="text1"/>
          <w:sz w:val="28"/>
          <w:szCs w:val="28"/>
          <w:lang w:eastAsia="en-US"/>
        </w:rPr>
        <w:t>4. Рынок товаров и услуг</w:t>
      </w:r>
    </w:p>
    <w:p w:rsidR="00614433" w:rsidRPr="005E4488" w:rsidRDefault="005E44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На потребительском рынке района в текущем 2024 году функционирует </w:t>
      </w:r>
      <w:r w:rsidRPr="005E4488">
        <w:rPr>
          <w:color w:val="000000" w:themeColor="text1"/>
          <w:sz w:val="28"/>
          <w:szCs w:val="28"/>
        </w:rPr>
        <w:t>176 магазинов продовольственных и промышленных товаров, 41 нестационарный торговый объект, 14 аптек и аптечных пунктов</w:t>
      </w:r>
      <w:r w:rsidRPr="005E4488">
        <w:rPr>
          <w:color w:val="FF0000"/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</w:rPr>
        <w:t xml:space="preserve">и 30 предприятий общественного питания. Создано 4 </w:t>
      </w:r>
      <w:proofErr w:type="gramStart"/>
      <w:r w:rsidRPr="005E4488">
        <w:rPr>
          <w:color w:val="000000" w:themeColor="text1"/>
          <w:sz w:val="28"/>
          <w:szCs w:val="28"/>
        </w:rPr>
        <w:t>ярмарочных</w:t>
      </w:r>
      <w:proofErr w:type="gramEnd"/>
      <w:r w:rsidRPr="005E4488">
        <w:rPr>
          <w:color w:val="000000" w:themeColor="text1"/>
          <w:sz w:val="28"/>
          <w:szCs w:val="28"/>
        </w:rPr>
        <w:t xml:space="preserve"> площадки на 103 торговых места. </w:t>
      </w:r>
      <w:r w:rsidRPr="005E4488">
        <w:rPr>
          <w:color w:val="FF0000"/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</w:rPr>
        <w:t>Сохраняется тенденция роста оборота розничн</w:t>
      </w:r>
      <w:r w:rsidRPr="005E4488">
        <w:rPr>
          <w:color w:val="000000" w:themeColor="text1"/>
          <w:sz w:val="28"/>
          <w:szCs w:val="28"/>
        </w:rPr>
        <w:t xml:space="preserve">ой торговли по организациям, не относящимся к субъектам малого предпринимательства. В 2023 году – истекшем периоде 2024  года на территории Михайловского муниципального округа дополнительно открыты 2 магазина  крупных сетей розничной торговли («Близкий» и </w:t>
      </w:r>
      <w:r w:rsidRPr="005E4488">
        <w:rPr>
          <w:color w:val="000000" w:themeColor="text1"/>
          <w:sz w:val="28"/>
          <w:szCs w:val="28"/>
        </w:rPr>
        <w:t xml:space="preserve">«Бристоль») и 1 магазин бытовой техники. Прекращена деятельность 1 предприятия общественного питания (кафе </w:t>
      </w:r>
      <w:proofErr w:type="gramStart"/>
      <w:r w:rsidRPr="005E4488">
        <w:rPr>
          <w:color w:val="000000" w:themeColor="text1"/>
          <w:sz w:val="28"/>
          <w:szCs w:val="28"/>
        </w:rPr>
        <w:t>в</w:t>
      </w:r>
      <w:proofErr w:type="gramEnd"/>
      <w:r w:rsidRPr="005E4488">
        <w:rPr>
          <w:color w:val="000000" w:themeColor="text1"/>
          <w:sz w:val="28"/>
          <w:szCs w:val="28"/>
        </w:rPr>
        <w:t xml:space="preserve"> с. Ивановка).</w:t>
      </w:r>
    </w:p>
    <w:p w:rsidR="00614433" w:rsidRPr="005E4488" w:rsidRDefault="005E44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плановом периоде предусматривается рост оборота розничной торговли в организациях, не относящихся к субъектам малого предпринимател</w:t>
      </w:r>
      <w:r w:rsidRPr="005E4488">
        <w:rPr>
          <w:color w:val="000000" w:themeColor="text1"/>
          <w:sz w:val="28"/>
          <w:szCs w:val="28"/>
        </w:rPr>
        <w:t>ьства, в среднем на 3 % в год в условиях консервативного варианта развития и на 4,3 % при базовом варианте развития. Рост объёмов платных услуг населению, оказываемых крупными и средними организациями, в плановом периоде также будет незначительным – в сред</w:t>
      </w:r>
      <w:r w:rsidRPr="005E4488">
        <w:rPr>
          <w:color w:val="000000" w:themeColor="text1"/>
          <w:sz w:val="28"/>
          <w:szCs w:val="28"/>
        </w:rPr>
        <w:t>нем на 1,5 % и на 2,9 % соответственно по вариантам развития.</w:t>
      </w:r>
    </w:p>
    <w:p w:rsidR="00614433" w:rsidRPr="005E4488" w:rsidRDefault="005E4488">
      <w:pPr>
        <w:spacing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5E4488">
        <w:rPr>
          <w:rFonts w:eastAsia="Calibri"/>
          <w:b/>
          <w:color w:val="000000" w:themeColor="text1"/>
          <w:sz w:val="28"/>
          <w:szCs w:val="28"/>
          <w:lang w:eastAsia="en-US"/>
        </w:rPr>
        <w:t>5. Малое предпринимательство</w:t>
      </w:r>
    </w:p>
    <w:p w:rsidR="00614433" w:rsidRPr="005E4488" w:rsidRDefault="005E448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E4488">
        <w:rPr>
          <w:sz w:val="28"/>
          <w:szCs w:val="28"/>
        </w:rPr>
        <w:lastRenderedPageBreak/>
        <w:t xml:space="preserve">Согласно данным Единого реестра субъектов малого и среднего предпринимательства, опубликованным на сайте Федеральной налоговой службы, </w:t>
      </w:r>
      <w:proofErr w:type="gramStart"/>
      <w:r w:rsidRPr="005E4488">
        <w:rPr>
          <w:sz w:val="28"/>
          <w:szCs w:val="28"/>
        </w:rPr>
        <w:t>на конец</w:t>
      </w:r>
      <w:proofErr w:type="gramEnd"/>
      <w:r w:rsidRPr="005E4488">
        <w:rPr>
          <w:sz w:val="28"/>
          <w:szCs w:val="28"/>
        </w:rPr>
        <w:t xml:space="preserve"> 2023 года в Михайловс</w:t>
      </w:r>
      <w:r w:rsidRPr="005E4488">
        <w:rPr>
          <w:sz w:val="28"/>
          <w:szCs w:val="28"/>
        </w:rPr>
        <w:t>ком районе зарегистрировано 157 юридических лиц и 633 индивидуальных предпринимателя.</w:t>
      </w:r>
      <w:r w:rsidRPr="005E4488">
        <w:rPr>
          <w:color w:val="FF0000"/>
          <w:sz w:val="28"/>
          <w:szCs w:val="28"/>
        </w:rPr>
        <w:t xml:space="preserve"> </w:t>
      </w:r>
      <w:r w:rsidRPr="005E4488">
        <w:rPr>
          <w:sz w:val="28"/>
          <w:szCs w:val="28"/>
        </w:rPr>
        <w:t xml:space="preserve">Общая численность работников на средних, малых и </w:t>
      </w:r>
      <w:proofErr w:type="spellStart"/>
      <w:r w:rsidRPr="005E4488">
        <w:rPr>
          <w:sz w:val="28"/>
          <w:szCs w:val="28"/>
        </w:rPr>
        <w:t>микропредприятиях</w:t>
      </w:r>
      <w:proofErr w:type="spellEnd"/>
      <w:r w:rsidRPr="005E4488">
        <w:rPr>
          <w:sz w:val="28"/>
          <w:szCs w:val="28"/>
        </w:rPr>
        <w:t xml:space="preserve"> на конец отчётного периода, составляла 1320 человек.</w:t>
      </w:r>
    </w:p>
    <w:p w:rsidR="00614433" w:rsidRPr="005E4488" w:rsidRDefault="005E448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E4488">
        <w:rPr>
          <w:sz w:val="28"/>
          <w:szCs w:val="28"/>
        </w:rPr>
        <w:t>С начала текущего 2024 года число субъектов малого</w:t>
      </w:r>
      <w:r w:rsidRPr="005E4488">
        <w:rPr>
          <w:sz w:val="28"/>
          <w:szCs w:val="28"/>
        </w:rPr>
        <w:t xml:space="preserve"> и среднего предпринимательства сократилось на 24 единицы и составило на 10.07.2024 - 773 (149 юридических лиц и 624 индивидуальных предпринимателя). Вместе с тем отмечается рост среднесписочной численности работников малых и средних предприятий на 2,2 %, </w:t>
      </w:r>
      <w:r w:rsidRPr="005E4488">
        <w:rPr>
          <w:sz w:val="28"/>
          <w:szCs w:val="28"/>
        </w:rPr>
        <w:t xml:space="preserve">а также увеличение численности </w:t>
      </w:r>
      <w:proofErr w:type="spellStart"/>
      <w:r w:rsidRPr="005E4488">
        <w:rPr>
          <w:sz w:val="28"/>
          <w:szCs w:val="28"/>
        </w:rPr>
        <w:t>самозанятых</w:t>
      </w:r>
      <w:proofErr w:type="spellEnd"/>
      <w:r w:rsidRPr="005E4488">
        <w:rPr>
          <w:sz w:val="28"/>
          <w:szCs w:val="28"/>
        </w:rPr>
        <w:t xml:space="preserve"> граждан на 17,9 %.</w:t>
      </w:r>
    </w:p>
    <w:p w:rsidR="00614433" w:rsidRPr="005E4488" w:rsidRDefault="005E448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 Росту занятости способствовала деятельность рабочей группы по соблюдению требований трудового законодательства и снижению неформальной занятости на территории Михайловского муниципального округ</w:t>
      </w:r>
      <w:r w:rsidRPr="005E4488">
        <w:rPr>
          <w:color w:val="000000" w:themeColor="text1"/>
          <w:sz w:val="28"/>
          <w:szCs w:val="28"/>
        </w:rPr>
        <w:t>а.</w:t>
      </w:r>
      <w:r w:rsidRPr="005E4488">
        <w:rPr>
          <w:color w:val="000000" w:themeColor="text1"/>
          <w:sz w:val="28"/>
          <w:szCs w:val="28"/>
        </w:rPr>
        <w:t xml:space="preserve"> </w:t>
      </w:r>
      <w:proofErr w:type="gramStart"/>
      <w:r w:rsidRPr="005E4488">
        <w:rPr>
          <w:color w:val="000000" w:themeColor="text1"/>
          <w:sz w:val="28"/>
          <w:szCs w:val="28"/>
        </w:rPr>
        <w:t>С начала 2024 года выявлен 121 человек, находящихся в неформальных трудовых отношениях.</w:t>
      </w:r>
      <w:proofErr w:type="gramEnd"/>
      <w:r w:rsidRPr="005E4488">
        <w:rPr>
          <w:color w:val="000000" w:themeColor="text1"/>
          <w:sz w:val="28"/>
          <w:szCs w:val="28"/>
        </w:rPr>
        <w:t xml:space="preserve"> С 25 человеками заключены трудовые договоры, 94 человека зарегистрировали предпринимательство, 2 приобрели статус </w:t>
      </w:r>
      <w:proofErr w:type="spellStart"/>
      <w:r w:rsidRPr="005E4488">
        <w:rPr>
          <w:color w:val="000000" w:themeColor="text1"/>
          <w:sz w:val="28"/>
          <w:szCs w:val="28"/>
        </w:rPr>
        <w:t>самозанятых</w:t>
      </w:r>
      <w:proofErr w:type="spellEnd"/>
      <w:r w:rsidRPr="005E4488">
        <w:rPr>
          <w:color w:val="000000" w:themeColor="text1"/>
          <w:sz w:val="28"/>
          <w:szCs w:val="28"/>
        </w:rPr>
        <w:t>.</w:t>
      </w:r>
    </w:p>
    <w:p w:rsidR="00614433" w:rsidRPr="005E4488" w:rsidRDefault="005E448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прогнозируемом периоде предусматрива</w:t>
      </w:r>
      <w:r w:rsidRPr="005E4488">
        <w:rPr>
          <w:color w:val="000000" w:themeColor="text1"/>
          <w:sz w:val="28"/>
          <w:szCs w:val="28"/>
        </w:rPr>
        <w:t xml:space="preserve">ется незначительный рост числа субъектов малого бизнеса и </w:t>
      </w:r>
      <w:proofErr w:type="gramStart"/>
      <w:r w:rsidRPr="005E4488">
        <w:rPr>
          <w:color w:val="000000" w:themeColor="text1"/>
          <w:sz w:val="28"/>
          <w:szCs w:val="28"/>
        </w:rPr>
        <w:t>численности</w:t>
      </w:r>
      <w:proofErr w:type="gramEnd"/>
      <w:r w:rsidRPr="005E4488">
        <w:rPr>
          <w:color w:val="000000" w:themeColor="text1"/>
          <w:sz w:val="28"/>
          <w:szCs w:val="28"/>
        </w:rPr>
        <w:t xml:space="preserve"> занятых в сфере малого и среднего предпринимательства.</w:t>
      </w:r>
      <w:r w:rsidRPr="005E4488">
        <w:rPr>
          <w:color w:val="FF0000"/>
          <w:sz w:val="28"/>
          <w:szCs w:val="28"/>
        </w:rPr>
        <w:t xml:space="preserve"> </w:t>
      </w:r>
    </w:p>
    <w:p w:rsidR="00614433" w:rsidRPr="005E4488" w:rsidRDefault="005E4488">
      <w:pPr>
        <w:spacing w:line="360" w:lineRule="auto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5E4488">
        <w:rPr>
          <w:rFonts w:eastAsia="Calibri"/>
          <w:b/>
          <w:color w:val="000000" w:themeColor="text1"/>
          <w:sz w:val="28"/>
          <w:szCs w:val="28"/>
          <w:lang w:eastAsia="en-US"/>
        </w:rPr>
        <w:t>6. Строительство</w:t>
      </w:r>
    </w:p>
    <w:p w:rsidR="00614433" w:rsidRPr="005E4488" w:rsidRDefault="005E4488">
      <w:pPr>
        <w:spacing w:line="436" w:lineRule="exact"/>
        <w:ind w:right="-1"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В последние годы на территории района довольно активно ведётся жилищное строительство. По </w:t>
      </w:r>
      <w:r w:rsidRPr="005E4488">
        <w:rPr>
          <w:color w:val="000000" w:themeColor="text1"/>
          <w:sz w:val="28"/>
          <w:szCs w:val="28"/>
        </w:rPr>
        <w:t xml:space="preserve">итогам 2023 года введено 11923 </w:t>
      </w:r>
      <w:proofErr w:type="gramStart"/>
      <w:r w:rsidRPr="005E4488">
        <w:rPr>
          <w:color w:val="000000" w:themeColor="text1"/>
          <w:sz w:val="28"/>
          <w:szCs w:val="28"/>
        </w:rPr>
        <w:t>квадратных</w:t>
      </w:r>
      <w:proofErr w:type="gramEnd"/>
      <w:r w:rsidRPr="005E4488">
        <w:rPr>
          <w:color w:val="000000" w:themeColor="text1"/>
          <w:sz w:val="28"/>
          <w:szCs w:val="28"/>
        </w:rPr>
        <w:t xml:space="preserve"> метра жилья, что в 1,6 раз выше уровня предыдущего года. </w:t>
      </w:r>
      <w:r w:rsidRPr="005E4488">
        <w:rPr>
          <w:color w:val="000000" w:themeColor="text1"/>
          <w:sz w:val="28"/>
          <w:szCs w:val="28"/>
        </w:rPr>
        <w:t>Площадь земельных участков, предоставленных для строительства в 2023 году, составила 14,9848 га, в том числе для жилищного строительства 9,0844 га.</w:t>
      </w:r>
    </w:p>
    <w:p w:rsidR="00614433" w:rsidRPr="005E4488" w:rsidRDefault="005E4488">
      <w:pPr>
        <w:spacing w:line="436" w:lineRule="exact"/>
        <w:ind w:firstLine="709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2024 го</w:t>
      </w:r>
      <w:r w:rsidRPr="005E4488">
        <w:rPr>
          <w:color w:val="000000" w:themeColor="text1"/>
          <w:sz w:val="28"/>
          <w:szCs w:val="28"/>
        </w:rPr>
        <w:t xml:space="preserve">ду осуществлён ввод в эксплуатацию 1 многоквартирного дома </w:t>
      </w:r>
      <w:proofErr w:type="gramStart"/>
      <w:r w:rsidRPr="005E4488">
        <w:rPr>
          <w:color w:val="000000" w:themeColor="text1"/>
          <w:sz w:val="28"/>
          <w:szCs w:val="28"/>
        </w:rPr>
        <w:t>в</w:t>
      </w:r>
      <w:proofErr w:type="gramEnd"/>
      <w:r w:rsidRPr="005E4488">
        <w:rPr>
          <w:color w:val="000000" w:themeColor="text1"/>
          <w:sz w:val="28"/>
          <w:szCs w:val="28"/>
        </w:rPr>
        <w:t xml:space="preserve"> с. Михайловка.</w:t>
      </w:r>
      <w:r w:rsidRPr="005E4488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</w:rPr>
        <w:t>Всего в прогнозируемом периоде будет введено в эксплуатацию порядка 24,6</w:t>
      </w:r>
      <w:r w:rsidRPr="005E4488">
        <w:rPr>
          <w:color w:val="000000" w:themeColor="text1"/>
          <w:sz w:val="28"/>
          <w:szCs w:val="28"/>
        </w:rPr>
        <w:t xml:space="preserve"> тыс. кв. м </w:t>
      </w:r>
      <w:proofErr w:type="gramStart"/>
      <w:r w:rsidRPr="005E4488">
        <w:rPr>
          <w:color w:val="000000" w:themeColor="text1"/>
          <w:sz w:val="28"/>
          <w:szCs w:val="28"/>
        </w:rPr>
        <w:t>жилья</w:t>
      </w:r>
      <w:proofErr w:type="gramEnd"/>
      <w:r w:rsidRPr="005E4488">
        <w:rPr>
          <w:color w:val="000000" w:themeColor="text1"/>
          <w:sz w:val="28"/>
          <w:szCs w:val="28"/>
        </w:rPr>
        <w:t xml:space="preserve"> как за счёт индивидуального </w:t>
      </w:r>
      <w:r w:rsidRPr="005E4488">
        <w:rPr>
          <w:color w:val="000000" w:themeColor="text1"/>
          <w:sz w:val="28"/>
          <w:szCs w:val="28"/>
        </w:rPr>
        <w:lastRenderedPageBreak/>
        <w:t>жилищного строительства, так и за счёт строительства многоквартирного жилья.  Для этих целей на территории района имеется 7 земельных участков, а также подготовлены все необходимые документы территориального пл</w:t>
      </w:r>
      <w:r w:rsidRPr="005E4488">
        <w:rPr>
          <w:color w:val="000000" w:themeColor="text1"/>
          <w:sz w:val="28"/>
          <w:szCs w:val="28"/>
        </w:rPr>
        <w:t>анирования.</w:t>
      </w:r>
    </w:p>
    <w:p w:rsidR="00614433" w:rsidRPr="005E4488" w:rsidRDefault="00614433">
      <w:pPr>
        <w:spacing w:line="360" w:lineRule="auto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614433" w:rsidRPr="005E4488" w:rsidRDefault="005E4488">
      <w:pPr>
        <w:spacing w:line="360" w:lineRule="auto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5E448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7. Инвестиции </w:t>
      </w:r>
    </w:p>
    <w:p w:rsidR="00614433" w:rsidRPr="005E4488" w:rsidRDefault="005E4488">
      <w:pPr>
        <w:spacing w:line="360" w:lineRule="auto"/>
        <w:ind w:firstLine="709"/>
        <w:jc w:val="both"/>
        <w:rPr>
          <w:sz w:val="28"/>
          <w:szCs w:val="28"/>
        </w:rPr>
      </w:pPr>
      <w:r w:rsidRPr="005E4488">
        <w:rPr>
          <w:sz w:val="28"/>
          <w:szCs w:val="28"/>
        </w:rPr>
        <w:t xml:space="preserve">Объём инвестиций в основной капитал по крупным и средним организациям района (за исключением бюджетных средств) в 2023 году по данным </w:t>
      </w:r>
      <w:proofErr w:type="spellStart"/>
      <w:r w:rsidRPr="005E4488">
        <w:rPr>
          <w:sz w:val="28"/>
          <w:szCs w:val="28"/>
        </w:rPr>
        <w:t>Приморскстата</w:t>
      </w:r>
      <w:proofErr w:type="spellEnd"/>
      <w:r w:rsidRPr="005E4488">
        <w:rPr>
          <w:sz w:val="28"/>
          <w:szCs w:val="28"/>
        </w:rPr>
        <w:t xml:space="preserve"> составил 183698,3 рублей в расчёте на 1 жителя, что ниже уровня 2022 года на 17,</w:t>
      </w:r>
      <w:r w:rsidRPr="005E4488">
        <w:rPr>
          <w:sz w:val="28"/>
          <w:szCs w:val="28"/>
        </w:rPr>
        <w:t xml:space="preserve">9 %.  Снижение объёма инвестиций обусловлено завершением  строительства крупных производственных объектов на ТОР «Михайловский». </w:t>
      </w:r>
    </w:p>
    <w:p w:rsidR="00614433" w:rsidRPr="005E4488" w:rsidRDefault="005E4488">
      <w:pPr>
        <w:spacing w:line="360" w:lineRule="auto"/>
        <w:ind w:firstLine="709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5E4488">
        <w:rPr>
          <w:rFonts w:eastAsia="Calibri"/>
          <w:color w:val="000000" w:themeColor="text1"/>
          <w:sz w:val="28"/>
          <w:szCs w:val="28"/>
        </w:rPr>
        <w:t xml:space="preserve">В текущем 2024 году в перечне </w:t>
      </w:r>
      <w:proofErr w:type="gramStart"/>
      <w:r w:rsidRPr="005E4488">
        <w:rPr>
          <w:rFonts w:eastAsia="Calibri"/>
          <w:color w:val="000000" w:themeColor="text1"/>
          <w:sz w:val="28"/>
          <w:szCs w:val="28"/>
        </w:rPr>
        <w:t>инвестиционных проектов, реализуемых и планируемых к реализации на территории Михайловского муни</w:t>
      </w:r>
      <w:r w:rsidRPr="005E4488">
        <w:rPr>
          <w:rFonts w:eastAsia="Calibri"/>
          <w:color w:val="000000" w:themeColor="text1"/>
          <w:sz w:val="28"/>
          <w:szCs w:val="28"/>
        </w:rPr>
        <w:t>ципального округа включено</w:t>
      </w:r>
      <w:proofErr w:type="gramEnd"/>
      <w:r w:rsidRPr="005E4488">
        <w:rPr>
          <w:rFonts w:eastAsia="Calibri"/>
          <w:color w:val="000000" w:themeColor="text1"/>
          <w:sz w:val="28"/>
          <w:szCs w:val="28"/>
        </w:rPr>
        <w:t xml:space="preserve"> 4 проекта. Инициаторами всех проектов выступают резиденты ТОР Михайловский. Реализация  всех проектов связана с развитием агропромышленного комплекса Михайловского муниципального округа и Приморского края.  </w:t>
      </w:r>
    </w:p>
    <w:p w:rsidR="00614433" w:rsidRPr="005E4488" w:rsidRDefault="005E4488">
      <w:pPr>
        <w:pStyle w:val="afa"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прогнозируемом пери</w:t>
      </w:r>
      <w:r w:rsidRPr="005E4488">
        <w:rPr>
          <w:color w:val="000000" w:themeColor="text1"/>
          <w:sz w:val="28"/>
          <w:szCs w:val="28"/>
        </w:rPr>
        <w:t>оде 2025-2027 гг. в базовом варианте развития предусматривается осуществление инвестиций в основной капитал в размере 8,4 млрд. рублей. На долю предприятий, осуществляющих добычу полезных ископаемых (приобретение карьерной техники), придётся порядка 50 % о</w:t>
      </w:r>
      <w:r w:rsidRPr="005E4488">
        <w:rPr>
          <w:color w:val="000000" w:themeColor="text1"/>
          <w:sz w:val="28"/>
          <w:szCs w:val="28"/>
        </w:rPr>
        <w:t>бщего объёма капитальных вложений.</w:t>
      </w:r>
    </w:p>
    <w:p w:rsidR="00614433" w:rsidRPr="005E4488" w:rsidRDefault="005E4488">
      <w:pPr>
        <w:spacing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5E4488">
        <w:rPr>
          <w:rFonts w:eastAsia="Calibri"/>
          <w:b/>
          <w:color w:val="000000" w:themeColor="text1"/>
          <w:sz w:val="28"/>
          <w:szCs w:val="28"/>
          <w:lang w:eastAsia="en-US"/>
        </w:rPr>
        <w:t>8. Финансы</w:t>
      </w:r>
    </w:p>
    <w:p w:rsidR="00614433" w:rsidRPr="005E4488" w:rsidRDefault="005E4488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Доходы районного бюджета на 2025 год и плановый период 2026 и 2027 годов сформированы в соответствии с нормативами отчислений, установленных Бюджетным кодексом, законом Приморского края от 23.12.2023 № 459-КЗ «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О краевом бюджете на 2024 год и плановый период 2025 и 2026 годов», законом Приморского края от 02.04.2019 № 473-КЗ «Об установлении единого норматива отчислений в бюджеты муниципальных 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районов и городских округов Приморского</w:t>
      </w:r>
      <w:proofErr w:type="gramEnd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 края от налога, взимаемого в с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вязи с применением упрощенной системы налогообложения», законом Приморского края от 13.11.2012 № 122-КЗ «О патентной системе налогообложения на территории Приморского края.</w:t>
      </w:r>
      <w:r w:rsidRPr="005E4488">
        <w:rPr>
          <w:rFonts w:eastAsia="Calibri"/>
          <w:color w:val="FF0000"/>
          <w:sz w:val="28"/>
          <w:szCs w:val="28"/>
          <w:lang w:eastAsia="en-US"/>
        </w:rPr>
        <w:br/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Основные характеристики районного бюджета на 2025 год и на плановый период 2026 и 2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>027 годов определены на основе базового варианта прогноза социально-экономического развития Михайловского муниципального округа, изменений бюджетного законодательства и законодательства о налогах и сборах.</w:t>
      </w:r>
    </w:p>
    <w:p w:rsidR="00614433" w:rsidRPr="005E4488" w:rsidRDefault="005E4488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Собственные доходы на 2025 год спрогнозированы со 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снижением к ожидаемому уровню 2024 года на 16,2 %. </w:t>
      </w:r>
      <w:r w:rsidRPr="005E4488">
        <w:rPr>
          <w:rFonts w:eastAsia="Calibri"/>
          <w:color w:val="000000" w:themeColor="text1"/>
          <w:sz w:val="28"/>
          <w:szCs w:val="28"/>
        </w:rPr>
        <w:t xml:space="preserve">Снижение поступления налога на доходы физических лиц на 2025 год объясняется снижением дополнительного норматива, заменяющего часть дотации на выравнивание бюджетной обеспеченности согласно приложению 2 к </w:t>
      </w:r>
      <w:r w:rsidRPr="005E4488">
        <w:rPr>
          <w:rFonts w:eastAsia="Calibri"/>
          <w:color w:val="000000" w:themeColor="text1"/>
          <w:sz w:val="28"/>
          <w:szCs w:val="28"/>
        </w:rPr>
        <w:t>Закону Приморского края от 22.12.2023 № 495-КЗ (на 2024 год 59,6958298, на 2025 год 45,9818049).</w:t>
      </w:r>
      <w:proofErr w:type="gramEnd"/>
      <w:r w:rsidRPr="005E4488">
        <w:rPr>
          <w:rFonts w:eastAsia="Calibri"/>
          <w:color w:val="000000" w:themeColor="text1"/>
          <w:sz w:val="28"/>
          <w:szCs w:val="28"/>
        </w:rPr>
        <w:t xml:space="preserve"> Снижение неналоговых поступлений предусматривается за счет снижения количества продажи земельных участков и снижение количества земельных участков по договорам</w:t>
      </w:r>
      <w:r w:rsidRPr="005E4488">
        <w:rPr>
          <w:rFonts w:eastAsia="Calibri"/>
          <w:color w:val="000000" w:themeColor="text1"/>
          <w:sz w:val="28"/>
          <w:szCs w:val="28"/>
        </w:rPr>
        <w:t xml:space="preserve"> аренды по причине их выкупа.</w:t>
      </w:r>
    </w:p>
    <w:p w:rsidR="00614433" w:rsidRPr="005E4488" w:rsidRDefault="005E4488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 Сформированные в соответствии с параметрами прогноза социально-экономического развития района основные характеристики решения о бюджете направлены на обеспечение первоочередных расходных обязательств, и сохранение устойчивост</w:t>
      </w:r>
      <w:r w:rsidRPr="005E4488">
        <w:rPr>
          <w:rFonts w:eastAsia="Calibri"/>
          <w:color w:val="000000" w:themeColor="text1"/>
          <w:sz w:val="28"/>
          <w:szCs w:val="28"/>
          <w:lang w:eastAsia="en-US"/>
        </w:rPr>
        <w:t xml:space="preserve">и районного бюджета по отношению к основным бюджетным рискам. </w:t>
      </w:r>
    </w:p>
    <w:p w:rsidR="00614433" w:rsidRPr="005E4488" w:rsidRDefault="00614433">
      <w:pPr>
        <w:spacing w:line="360" w:lineRule="auto"/>
        <w:ind w:firstLine="708"/>
        <w:jc w:val="both"/>
        <w:rPr>
          <w:rFonts w:eastAsia="Calibri"/>
          <w:color w:val="FF0000"/>
          <w:sz w:val="28"/>
          <w:szCs w:val="28"/>
        </w:rPr>
      </w:pPr>
    </w:p>
    <w:p w:rsidR="00614433" w:rsidRPr="005E4488" w:rsidRDefault="005E4488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5E4488">
        <w:rPr>
          <w:b/>
          <w:color w:val="000000" w:themeColor="text1"/>
          <w:sz w:val="28"/>
          <w:szCs w:val="28"/>
        </w:rPr>
        <w:t>9. Труд и занятость</w:t>
      </w:r>
    </w:p>
    <w:p w:rsidR="00614433" w:rsidRPr="005E4488" w:rsidRDefault="005E448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Развитие рынка труда и занятости района характеризуется увеличением в базовом 2023 году на 5,4 % среднесписочной  численность работников крупных и средних организаций</w:t>
      </w:r>
      <w:r w:rsidRPr="005E4488">
        <w:rPr>
          <w:color w:val="000000" w:themeColor="text1"/>
          <w:sz w:val="28"/>
          <w:szCs w:val="28"/>
        </w:rPr>
        <w:t xml:space="preserve"> и ростом на 14,7 % размера номинальной начисленной среднемесячной заработной платы. </w:t>
      </w:r>
      <w:proofErr w:type="gramStart"/>
      <w:r w:rsidRPr="005E4488">
        <w:rPr>
          <w:color w:val="000000" w:themeColor="text1"/>
          <w:sz w:val="28"/>
          <w:szCs w:val="28"/>
        </w:rPr>
        <w:t xml:space="preserve">По оценке 2024 года </w:t>
      </w:r>
      <w:r w:rsidRPr="005E4488">
        <w:rPr>
          <w:color w:val="000000" w:themeColor="text1"/>
          <w:sz w:val="28"/>
          <w:szCs w:val="28"/>
        </w:rPr>
        <w:lastRenderedPageBreak/>
        <w:t>среднесписочная численность работающих в организациях района, не относящихся к субъектам малого предпринимательства, снизится на 2,0 %.</w:t>
      </w:r>
      <w:r w:rsidRPr="005E4488">
        <w:rPr>
          <w:color w:val="FF0000"/>
          <w:sz w:val="28"/>
          <w:szCs w:val="28"/>
        </w:rPr>
        <w:t xml:space="preserve"> </w:t>
      </w:r>
      <w:proofErr w:type="gramEnd"/>
    </w:p>
    <w:p w:rsidR="00614433" w:rsidRPr="005E4488" w:rsidRDefault="005E448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прогнозируем</w:t>
      </w:r>
      <w:r w:rsidRPr="005E4488">
        <w:rPr>
          <w:color w:val="000000" w:themeColor="text1"/>
          <w:sz w:val="28"/>
          <w:szCs w:val="28"/>
        </w:rPr>
        <w:t>ом периоде предусматривается незначительное (на 2,4 %) увеличение среднесписочной численности работающих за счёт создания новых рабочих мест, предусмотренных реализацией инвестиционных проектов в агропромышленном секторе экономики округа. На предприятии уг</w:t>
      </w:r>
      <w:r w:rsidRPr="005E4488">
        <w:rPr>
          <w:color w:val="000000" w:themeColor="text1"/>
          <w:sz w:val="28"/>
          <w:szCs w:val="28"/>
        </w:rPr>
        <w:t xml:space="preserve">ледобычи среднесписочная численность работников увеличится на 2,5 %, при этом количество рабочих мест не изменится. </w:t>
      </w:r>
    </w:p>
    <w:p w:rsidR="00614433" w:rsidRPr="005E4488" w:rsidRDefault="005E448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прогнозируемом периоде в условиях базового варианта развития будет обеспечен рост размера номинальной среднемесячной заработной платы 1 р</w:t>
      </w:r>
      <w:r w:rsidRPr="005E4488">
        <w:rPr>
          <w:color w:val="000000" w:themeColor="text1"/>
          <w:sz w:val="28"/>
          <w:szCs w:val="28"/>
        </w:rPr>
        <w:t xml:space="preserve">аботающего в среднем 4,7 % ежегодно. </w:t>
      </w:r>
    </w:p>
    <w:p w:rsidR="00614433" w:rsidRPr="005E4488" w:rsidRDefault="005E448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2025-2027 гг. на основных предприятиях района сокращение численности работающих не планируется. Сохранится тенденция снижения уровня зарегистрированной безработицы.</w:t>
      </w:r>
    </w:p>
    <w:p w:rsidR="00614433" w:rsidRPr="005E4488" w:rsidRDefault="005E4488">
      <w:pPr>
        <w:spacing w:line="360" w:lineRule="auto"/>
        <w:ind w:firstLine="360"/>
        <w:jc w:val="both"/>
        <w:rPr>
          <w:color w:val="FF0000"/>
          <w:sz w:val="28"/>
          <w:szCs w:val="28"/>
        </w:rPr>
      </w:pPr>
      <w:r w:rsidRPr="005E4488">
        <w:rPr>
          <w:color w:val="FF0000"/>
          <w:sz w:val="28"/>
          <w:szCs w:val="28"/>
        </w:rPr>
        <w:t xml:space="preserve">      </w:t>
      </w:r>
    </w:p>
    <w:p w:rsidR="00614433" w:rsidRPr="005E4488" w:rsidRDefault="005E4488">
      <w:pPr>
        <w:spacing w:line="360" w:lineRule="auto"/>
        <w:ind w:firstLine="360"/>
        <w:jc w:val="center"/>
        <w:rPr>
          <w:b/>
          <w:color w:val="000000" w:themeColor="text1"/>
          <w:sz w:val="28"/>
          <w:szCs w:val="28"/>
        </w:rPr>
      </w:pPr>
      <w:r w:rsidRPr="005E4488">
        <w:rPr>
          <w:b/>
          <w:color w:val="000000" w:themeColor="text1"/>
          <w:sz w:val="28"/>
          <w:szCs w:val="28"/>
        </w:rPr>
        <w:t>10. Социальная сфера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Муниципальный сектор экономики района представлен учреждениями образования и культуры. </w:t>
      </w:r>
    </w:p>
    <w:p w:rsidR="00614433" w:rsidRPr="005E4488" w:rsidRDefault="005E4488">
      <w:pPr>
        <w:spacing w:line="436" w:lineRule="exact"/>
        <w:ind w:right="-1"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сфере образования функционирует 14 общеобразовательных школ, 8 детских садов и 2 учреждения дополнительного образования – центр детского творчества и детско-юношеская</w:t>
      </w:r>
      <w:r w:rsidRPr="005E4488">
        <w:rPr>
          <w:color w:val="000000" w:themeColor="text1"/>
          <w:sz w:val="28"/>
          <w:szCs w:val="28"/>
        </w:rPr>
        <w:t xml:space="preserve"> спортивная школа. </w:t>
      </w:r>
    </w:p>
    <w:p w:rsidR="00614433" w:rsidRPr="005E4488" w:rsidRDefault="005E4488">
      <w:pPr>
        <w:spacing w:line="436" w:lineRule="exact"/>
        <w:ind w:right="-1"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Численность учащихся в школах района в 2023 - 2024 учебном году составляла 3802 человека.</w:t>
      </w:r>
      <w:r w:rsidRPr="005E4488">
        <w:rPr>
          <w:color w:val="FF0000"/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</w:rPr>
        <w:t>В общеобразовательных учреждениях занятия осуществляются в две смены (первая – 3 533 учащихся, вторая – 269 учащихся).</w:t>
      </w:r>
      <w:r w:rsidRPr="005E4488">
        <w:rPr>
          <w:color w:val="FF0000"/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</w:rPr>
        <w:t>Осуществляется ежедневный п</w:t>
      </w:r>
      <w:r w:rsidRPr="005E4488">
        <w:rPr>
          <w:color w:val="000000" w:themeColor="text1"/>
          <w:sz w:val="28"/>
          <w:szCs w:val="28"/>
        </w:rPr>
        <w:t>одвоз учащихся из 28 населённых пунктов к 10 общеобразовательным учреждениям по 17 маршрутам в количестве 512 человек.</w:t>
      </w:r>
      <w:r w:rsidRPr="005E4488">
        <w:rPr>
          <w:color w:val="FF0000"/>
          <w:sz w:val="28"/>
          <w:szCs w:val="28"/>
        </w:rPr>
        <w:t xml:space="preserve"> </w:t>
      </w:r>
    </w:p>
    <w:p w:rsidR="00614433" w:rsidRPr="005E4488" w:rsidRDefault="005E4488">
      <w:pPr>
        <w:spacing w:line="436" w:lineRule="exact"/>
        <w:ind w:right="-1"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Численность детей, стоящих в электронной очереди на определение в дошкольные учреждения образования </w:t>
      </w:r>
      <w:proofErr w:type="gramStart"/>
      <w:r w:rsidRPr="005E4488">
        <w:rPr>
          <w:color w:val="000000" w:themeColor="text1"/>
          <w:sz w:val="28"/>
          <w:szCs w:val="28"/>
        </w:rPr>
        <w:t>на конец</w:t>
      </w:r>
      <w:proofErr w:type="gramEnd"/>
      <w:r w:rsidRPr="005E4488">
        <w:rPr>
          <w:color w:val="000000" w:themeColor="text1"/>
          <w:sz w:val="28"/>
          <w:szCs w:val="28"/>
        </w:rPr>
        <w:t xml:space="preserve"> 2023 года составила 243 чел</w:t>
      </w:r>
      <w:r w:rsidRPr="005E4488">
        <w:rPr>
          <w:color w:val="000000" w:themeColor="text1"/>
          <w:sz w:val="28"/>
          <w:szCs w:val="28"/>
        </w:rPr>
        <w:t>овека, в том числе от 0 до 1 года – 225 человек, от 1 года до 2 лет – 18 человек. Дети в возрасте от 3 до 7 лет в очереди не состоят.</w:t>
      </w:r>
    </w:p>
    <w:p w:rsidR="00614433" w:rsidRPr="005E4488" w:rsidRDefault="005E4488">
      <w:pPr>
        <w:spacing w:line="436" w:lineRule="exact"/>
        <w:ind w:right="-1"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lastRenderedPageBreak/>
        <w:t>С 1 сентября 2023 года в связи с уменьшением численности детей, посещающих муниципальные дошкольные учреждения п. Новошахт</w:t>
      </w:r>
      <w:r w:rsidRPr="005E4488">
        <w:rPr>
          <w:color w:val="000000" w:themeColor="text1"/>
          <w:sz w:val="28"/>
          <w:szCs w:val="28"/>
        </w:rPr>
        <w:t>инский  закрыта дошкольная группа в детском саду «Золотой ключик». Количество дошкольных групп в учреждениях района на конец отчётного периода составило 50 единиц.</w:t>
      </w:r>
      <w:r w:rsidRPr="005E4488">
        <w:rPr>
          <w:color w:val="000000" w:themeColor="text1"/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</w:rPr>
        <w:t xml:space="preserve">Процент охвата детей дошкольным образованием составляет  49,12 %. </w:t>
      </w:r>
    </w:p>
    <w:p w:rsidR="00614433" w:rsidRPr="005E4488" w:rsidRDefault="005E4488">
      <w:pPr>
        <w:spacing w:line="436" w:lineRule="exact"/>
        <w:ind w:firstLine="360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ab/>
        <w:t>Сеть учреждений культуры</w:t>
      </w:r>
      <w:r w:rsidRPr="005E4488">
        <w:rPr>
          <w:color w:val="000000" w:themeColor="text1"/>
          <w:sz w:val="28"/>
          <w:szCs w:val="28"/>
        </w:rPr>
        <w:t xml:space="preserve"> в отчётном году сохранена и по состоянию на 1 января 2023 года представлена 20 библиотеками, 18 клубными учреждениями с общим количеством посадочных мест 2011 ед. и историко-краеведческим музеем (клуб-музей).</w:t>
      </w:r>
      <w:r w:rsidRPr="005E4488">
        <w:rPr>
          <w:color w:val="FF0000"/>
          <w:sz w:val="28"/>
          <w:szCs w:val="28"/>
        </w:rPr>
        <w:t xml:space="preserve"> </w:t>
      </w:r>
      <w:r w:rsidRPr="005E4488">
        <w:rPr>
          <w:color w:val="000000" w:themeColor="text1"/>
          <w:sz w:val="28"/>
          <w:szCs w:val="28"/>
        </w:rPr>
        <w:t>Обеспеченность учреждениями культурно-досугово</w:t>
      </w:r>
      <w:r w:rsidRPr="005E4488">
        <w:rPr>
          <w:color w:val="000000" w:themeColor="text1"/>
          <w:sz w:val="28"/>
          <w:szCs w:val="28"/>
        </w:rPr>
        <w:t>го типа  по итогам 2023 года составило 108,1 % от норматива. Увеличение уровня фактической обеспеченности обусловлено снижением социального норматива в соответствии с распоряжением Министерства культуры Российской Федерации от 23.10.2023.</w:t>
      </w:r>
    </w:p>
    <w:p w:rsidR="00614433" w:rsidRPr="005E4488" w:rsidRDefault="005E4488">
      <w:pPr>
        <w:spacing w:line="436" w:lineRule="exact"/>
        <w:ind w:firstLine="709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>В рамках государс</w:t>
      </w:r>
      <w:r w:rsidRPr="005E4488">
        <w:rPr>
          <w:color w:val="000000" w:themeColor="text1"/>
          <w:sz w:val="28"/>
          <w:szCs w:val="28"/>
        </w:rPr>
        <w:t xml:space="preserve">твенной программы Приморского края «Развитие культуры Приморского края» в текущем 2024 году выполнены </w:t>
      </w:r>
      <w:r w:rsidRPr="005E4488">
        <w:rPr>
          <w:sz w:val="28"/>
          <w:szCs w:val="28"/>
        </w:rPr>
        <w:t xml:space="preserve">работы  по капитальному ремонту крыши здания дома культуры </w:t>
      </w:r>
      <w:proofErr w:type="gramStart"/>
      <w:r w:rsidRPr="005E4488">
        <w:rPr>
          <w:sz w:val="28"/>
          <w:szCs w:val="28"/>
        </w:rPr>
        <w:t>с</w:t>
      </w:r>
      <w:proofErr w:type="gramEnd"/>
      <w:r w:rsidRPr="005E4488">
        <w:rPr>
          <w:sz w:val="28"/>
          <w:szCs w:val="28"/>
        </w:rPr>
        <w:t>. Михайловка.</w:t>
      </w:r>
    </w:p>
    <w:p w:rsidR="00614433" w:rsidRPr="005E4488" w:rsidRDefault="00614433">
      <w:pPr>
        <w:spacing w:line="360" w:lineRule="auto"/>
        <w:jc w:val="both"/>
        <w:rPr>
          <w:color w:val="FF0000"/>
          <w:sz w:val="28"/>
          <w:szCs w:val="28"/>
        </w:rPr>
      </w:pPr>
    </w:p>
    <w:p w:rsidR="00614433" w:rsidRPr="005E4488" w:rsidRDefault="005E4488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E4488">
        <w:rPr>
          <w:b/>
          <w:bCs/>
          <w:color w:val="000000" w:themeColor="text1"/>
          <w:sz w:val="28"/>
          <w:szCs w:val="28"/>
        </w:rPr>
        <w:t>11. Заключение</w:t>
      </w:r>
    </w:p>
    <w:p w:rsidR="00614433" w:rsidRPr="005E4488" w:rsidRDefault="005E448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ab/>
      </w:r>
      <w:r w:rsidRPr="005E4488">
        <w:rPr>
          <w:color w:val="000000" w:themeColor="text1"/>
          <w:sz w:val="28"/>
          <w:szCs w:val="28"/>
        </w:rPr>
        <w:t xml:space="preserve">Одной из основных задач, стоящих перед органами местного самоуправления Михайловского муниципального округа в предстоящем 3-х летнем периоде, остаётся стабилизация численности населения округа. Решение поставленной задачи может быть </w:t>
      </w:r>
      <w:proofErr w:type="gramStart"/>
      <w:r w:rsidRPr="005E4488">
        <w:rPr>
          <w:color w:val="000000" w:themeColor="text1"/>
          <w:sz w:val="28"/>
          <w:szCs w:val="28"/>
        </w:rPr>
        <w:t>достигнуто</w:t>
      </w:r>
      <w:proofErr w:type="gramEnd"/>
      <w:r w:rsidRPr="005E4488">
        <w:rPr>
          <w:color w:val="000000" w:themeColor="text1"/>
          <w:sz w:val="28"/>
          <w:szCs w:val="28"/>
        </w:rPr>
        <w:t xml:space="preserve"> в том числе </w:t>
      </w:r>
      <w:r w:rsidRPr="005E4488">
        <w:rPr>
          <w:color w:val="000000" w:themeColor="text1"/>
          <w:sz w:val="28"/>
          <w:szCs w:val="28"/>
        </w:rPr>
        <w:t>за счёт дальнейшего развития экономики, создания дополнительных рабочих мест, роста размера заработной платы, создания благоприятных условий труда. Приоритетным направлением деятельности органов местного самоуправления округа останется создание благоприятн</w:t>
      </w:r>
      <w:r w:rsidRPr="005E4488">
        <w:rPr>
          <w:color w:val="000000" w:themeColor="text1"/>
          <w:sz w:val="28"/>
          <w:szCs w:val="28"/>
        </w:rPr>
        <w:t xml:space="preserve">ого инвестиционного климата. Особое внимание предстоит уделить сопровождению реализуемых и планируемых к реализации инвестиционных проектов. </w:t>
      </w:r>
    </w:p>
    <w:p w:rsidR="00614433" w:rsidRPr="005E4488" w:rsidRDefault="005E4488">
      <w:pPr>
        <w:spacing w:line="436" w:lineRule="exact"/>
        <w:ind w:firstLine="708"/>
        <w:jc w:val="both"/>
        <w:rPr>
          <w:color w:val="000000" w:themeColor="text1"/>
          <w:sz w:val="28"/>
          <w:szCs w:val="28"/>
        </w:rPr>
      </w:pPr>
      <w:r w:rsidRPr="005E4488">
        <w:rPr>
          <w:color w:val="000000" w:themeColor="text1"/>
          <w:sz w:val="28"/>
          <w:szCs w:val="28"/>
        </w:rPr>
        <w:t xml:space="preserve">Основной точкой роста в прогнозируемом периоде будет развитие агропромышленного комплекса. </w:t>
      </w:r>
      <w:proofErr w:type="gramStart"/>
      <w:r w:rsidRPr="005E4488">
        <w:rPr>
          <w:color w:val="000000" w:themeColor="text1"/>
          <w:sz w:val="28"/>
          <w:szCs w:val="28"/>
        </w:rPr>
        <w:t>Существенный ущерб, нан</w:t>
      </w:r>
      <w:r w:rsidRPr="005E4488">
        <w:rPr>
          <w:color w:val="000000" w:themeColor="text1"/>
          <w:sz w:val="28"/>
          <w:szCs w:val="28"/>
        </w:rPr>
        <w:t xml:space="preserve">есённый экономике района в базовом периоде в результате возникновения </w:t>
      </w:r>
      <w:r w:rsidRPr="005E4488">
        <w:rPr>
          <w:color w:val="000000" w:themeColor="text1"/>
          <w:sz w:val="28"/>
          <w:szCs w:val="28"/>
        </w:rPr>
        <w:lastRenderedPageBreak/>
        <w:t xml:space="preserve">чрезвычайных ситуаций природного и биологического характера, </w:t>
      </w:r>
      <w:r w:rsidRPr="005E4488">
        <w:rPr>
          <w:color w:val="000000" w:themeColor="text1"/>
          <w:sz w:val="28"/>
          <w:szCs w:val="28"/>
          <w:highlight w:val="white"/>
        </w:rPr>
        <w:t xml:space="preserve">повлекших гибель посевов сельскохозяйственных растений и уничтожение поголовья сельскохозяйственных животных на предприятиях </w:t>
      </w:r>
      <w:r w:rsidRPr="005E4488">
        <w:rPr>
          <w:color w:val="000000" w:themeColor="text1"/>
          <w:sz w:val="28"/>
          <w:szCs w:val="28"/>
          <w:highlight w:val="white"/>
        </w:rPr>
        <w:t>и в личных подсобных хозяйствах граждан, значительно усложнил решение задач, поставленных перед предприятиями реального сектора экономики по достижению запланированных темпов роста производства продукции.</w:t>
      </w:r>
      <w:proofErr w:type="gramEnd"/>
      <w:r w:rsidRPr="005E4488">
        <w:rPr>
          <w:color w:val="000000" w:themeColor="text1"/>
          <w:sz w:val="28"/>
          <w:szCs w:val="28"/>
          <w:highlight w:val="white"/>
        </w:rPr>
        <w:t xml:space="preserve">  Тем не менее, на сегодняшний день в основных отрас</w:t>
      </w:r>
      <w:r w:rsidRPr="005E4488">
        <w:rPr>
          <w:color w:val="000000" w:themeColor="text1"/>
          <w:sz w:val="28"/>
          <w:szCs w:val="28"/>
          <w:highlight w:val="white"/>
        </w:rPr>
        <w:t>лях экономики района удалось не допустить остановк</w:t>
      </w:r>
      <w:r w:rsidRPr="005E4488">
        <w:rPr>
          <w:color w:val="000000" w:themeColor="text1"/>
          <w:sz w:val="28"/>
          <w:szCs w:val="28"/>
        </w:rPr>
        <w:t>и производства и не только сохранить, но и увеличить занятость в организациях района.</w:t>
      </w:r>
    </w:p>
    <w:p w:rsidR="00614433" w:rsidRPr="005E4488" w:rsidRDefault="005E4488">
      <w:pPr>
        <w:spacing w:line="436" w:lineRule="exact"/>
        <w:jc w:val="both"/>
        <w:rPr>
          <w:color w:val="000000" w:themeColor="text1"/>
          <w:sz w:val="28"/>
          <w:szCs w:val="28"/>
        </w:rPr>
      </w:pPr>
      <w:r w:rsidRPr="005E4488">
        <w:rPr>
          <w:b/>
          <w:bCs/>
          <w:color w:val="000000" w:themeColor="text1"/>
          <w:sz w:val="28"/>
          <w:szCs w:val="28"/>
        </w:rPr>
        <w:tab/>
      </w:r>
      <w:r w:rsidRPr="005E4488">
        <w:rPr>
          <w:color w:val="000000" w:themeColor="text1"/>
          <w:sz w:val="28"/>
          <w:szCs w:val="28"/>
        </w:rPr>
        <w:t>Стабилизация экономики позволит не допустить существенного снижения собственных доходов местного бюджета, несмотря на с</w:t>
      </w:r>
      <w:r w:rsidRPr="005E4488">
        <w:rPr>
          <w:rFonts w:eastAsia="Calibri"/>
          <w:color w:val="000000" w:themeColor="text1"/>
          <w:sz w:val="28"/>
          <w:szCs w:val="28"/>
        </w:rPr>
        <w:t>нижение дополнительного норматива, заменяющего часть дотац</w:t>
      </w:r>
      <w:bookmarkStart w:id="0" w:name="_GoBack"/>
      <w:bookmarkEnd w:id="0"/>
      <w:r w:rsidRPr="005E4488">
        <w:rPr>
          <w:rFonts w:eastAsia="Calibri"/>
          <w:color w:val="000000" w:themeColor="text1"/>
          <w:sz w:val="28"/>
          <w:szCs w:val="28"/>
        </w:rPr>
        <w:t>ии на выравнивание бюджетной обеспеченности</w:t>
      </w:r>
      <w:r w:rsidRPr="005E4488">
        <w:rPr>
          <w:color w:val="000000" w:themeColor="text1"/>
          <w:sz w:val="28"/>
          <w:szCs w:val="28"/>
        </w:rPr>
        <w:t>, и сохранить расходы на социально-культурные мероприятия на уровне базового периода.</w:t>
      </w:r>
    </w:p>
    <w:p w:rsidR="00614433" w:rsidRPr="005E4488" w:rsidRDefault="00614433">
      <w:pPr>
        <w:spacing w:line="436" w:lineRule="exact"/>
        <w:jc w:val="both"/>
        <w:rPr>
          <w:color w:val="000000" w:themeColor="text1"/>
          <w:sz w:val="28"/>
          <w:szCs w:val="28"/>
        </w:rPr>
      </w:pPr>
    </w:p>
    <w:p w:rsidR="00614433" w:rsidRPr="005E4488" w:rsidRDefault="0061443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14433" w:rsidRPr="005E4488" w:rsidRDefault="005E4488">
      <w:pPr>
        <w:spacing w:line="360" w:lineRule="auto"/>
        <w:jc w:val="both"/>
        <w:rPr>
          <w:sz w:val="28"/>
          <w:szCs w:val="28"/>
        </w:rPr>
      </w:pPr>
      <w:r w:rsidRPr="005E4488">
        <w:rPr>
          <w:sz w:val="28"/>
          <w:szCs w:val="28"/>
        </w:rPr>
        <w:t xml:space="preserve">Начальник отдела экономики                                         </w:t>
      </w:r>
      <w:r w:rsidRPr="005E4488">
        <w:rPr>
          <w:sz w:val="28"/>
          <w:szCs w:val="28"/>
        </w:rPr>
        <w:t xml:space="preserve">            </w:t>
      </w:r>
      <w:r w:rsidRPr="005E4488">
        <w:rPr>
          <w:sz w:val="28"/>
          <w:szCs w:val="28"/>
        </w:rPr>
        <w:t xml:space="preserve">  М.Н. Маркова </w:t>
      </w:r>
    </w:p>
    <w:sectPr w:rsidR="00614433" w:rsidRPr="005E448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33" w:rsidRDefault="005E4488">
      <w:r>
        <w:separator/>
      </w:r>
    </w:p>
  </w:endnote>
  <w:endnote w:type="continuationSeparator" w:id="0">
    <w:p w:rsidR="00614433" w:rsidRDefault="005E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33" w:rsidRDefault="005E4488">
      <w:r>
        <w:separator/>
      </w:r>
    </w:p>
  </w:footnote>
  <w:footnote w:type="continuationSeparator" w:id="0">
    <w:p w:rsidR="00614433" w:rsidRDefault="005E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314"/>
    <w:multiLevelType w:val="hybridMultilevel"/>
    <w:tmpl w:val="1908C21A"/>
    <w:lvl w:ilvl="0" w:tplc="D12E8D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175A5EA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583E982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16BA7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5E0099C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510CC20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600E72B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8476313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2E527C8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7795694"/>
    <w:multiLevelType w:val="hybridMultilevel"/>
    <w:tmpl w:val="8C227B5A"/>
    <w:lvl w:ilvl="0" w:tplc="C97E9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603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A124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0A59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DA6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57E3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147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88D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928EC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8371F26"/>
    <w:multiLevelType w:val="hybridMultilevel"/>
    <w:tmpl w:val="6A70E542"/>
    <w:lvl w:ilvl="0" w:tplc="BAE22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7E2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36CE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7A1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92FD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E549C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306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800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55A4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A37327C"/>
    <w:multiLevelType w:val="hybridMultilevel"/>
    <w:tmpl w:val="0CDA8970"/>
    <w:lvl w:ilvl="0" w:tplc="1E52B4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1EEBB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A440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EEED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C25B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387E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4A5F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62CF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3A24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E5C1A3B"/>
    <w:multiLevelType w:val="hybridMultilevel"/>
    <w:tmpl w:val="E9F85020"/>
    <w:lvl w:ilvl="0" w:tplc="3DB0E3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88C2EEC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5FDE4D5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6D68B89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0DFE4FC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1FD22CA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997CCAD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53B6D13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7EC4A02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46BB433B"/>
    <w:multiLevelType w:val="hybridMultilevel"/>
    <w:tmpl w:val="DF3E06C8"/>
    <w:lvl w:ilvl="0" w:tplc="7B12CB2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 w:tplc="1A603C6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 w:tplc="DB0CF95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</w:rPr>
    </w:lvl>
    <w:lvl w:ilvl="3" w:tplc="3F5868CC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4" w:tplc="D0443C3A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 w:tplc="C59EFB02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</w:rPr>
    </w:lvl>
    <w:lvl w:ilvl="6" w:tplc="4298159E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</w:rPr>
    </w:lvl>
    <w:lvl w:ilvl="7" w:tplc="A064CB4A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 w:tplc="8F9A9D4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</w:rPr>
    </w:lvl>
  </w:abstractNum>
  <w:abstractNum w:abstractNumId="6">
    <w:nsid w:val="4F7A4D6A"/>
    <w:multiLevelType w:val="hybridMultilevel"/>
    <w:tmpl w:val="2E666694"/>
    <w:lvl w:ilvl="0" w:tplc="CEA05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6B271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9B25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F4E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3CBE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F6441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921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4CE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B5C9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541B569E"/>
    <w:multiLevelType w:val="hybridMultilevel"/>
    <w:tmpl w:val="7BC002AA"/>
    <w:lvl w:ilvl="0" w:tplc="7C429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84EA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3FA7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F01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0E7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FB203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82F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A2EC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D262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658267E2"/>
    <w:multiLevelType w:val="hybridMultilevel"/>
    <w:tmpl w:val="5016CF7E"/>
    <w:lvl w:ilvl="0" w:tplc="CBFC0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C46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E6E6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C0A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1A7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E86B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C0A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80D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FCC4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77C92BF2"/>
    <w:multiLevelType w:val="hybridMultilevel"/>
    <w:tmpl w:val="61F2F350"/>
    <w:lvl w:ilvl="0" w:tplc="C3C60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 w:tplc="625E2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66B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269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B00D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8083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C09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801E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5AD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33"/>
    <w:rsid w:val="005E4488"/>
    <w:rsid w:val="006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Стиль 13 пт По центру"/>
    <w:basedOn w:val="a"/>
    <w:pPr>
      <w:jc w:val="both"/>
    </w:pPr>
    <w:rPr>
      <w:sz w:val="26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Balloon Text"/>
    <w:basedOn w:val="a"/>
    <w:link w:val="afd"/>
    <w:semiHidden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pPr>
      <w:ind w:firstLine="720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paragraph" w:customStyle="1" w:styleId="12">
    <w:name w:val="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Normal (Web)"/>
    <w:basedOn w:val="a"/>
    <w:pPr>
      <w:spacing w:before="100" w:beforeAutospacing="1" w:after="100" w:afterAutospacing="1"/>
    </w:p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pPr>
      <w:widowControl w:val="0"/>
      <w:ind w:firstLine="720"/>
      <w:jc w:val="both"/>
    </w:pPr>
    <w:rPr>
      <w:sz w:val="26"/>
      <w:szCs w:val="20"/>
    </w:rPr>
  </w:style>
  <w:style w:type="character" w:customStyle="1" w:styleId="afd">
    <w:name w:val="Текст выноски Знак"/>
    <w:link w:val="afc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aff1">
    <w:name w:val="Body Text Indent"/>
    <w:basedOn w:val="a"/>
    <w:pPr>
      <w:spacing w:after="120"/>
      <w:ind w:left="283"/>
    </w:pPr>
    <w:rPr>
      <w:sz w:val="20"/>
      <w:szCs w:val="20"/>
    </w:rPr>
  </w:style>
  <w:style w:type="paragraph" w:styleId="aff2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pPr>
      <w:spacing w:before="100" w:after="100"/>
      <w:ind w:firstLine="720"/>
      <w:jc w:val="center"/>
    </w:pPr>
    <w:rPr>
      <w:sz w:val="28"/>
      <w:lang w:eastAsia="ru-RU"/>
    </w:rPr>
  </w:style>
  <w:style w:type="character" w:customStyle="1" w:styleId="27">
    <w:name w:val="Основной текст 2 Знак"/>
    <w:link w:val="26"/>
    <w:semiHidden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rPr>
      <w:sz w:val="16"/>
      <w:szCs w:val="16"/>
      <w:lang w:val="ru-RU" w:eastAsia="ru-RU" w:bidi="ar-SA"/>
    </w:rPr>
  </w:style>
  <w:style w:type="character" w:customStyle="1" w:styleId="FontStyle30">
    <w:name w:val="Font Style30"/>
    <w:rPr>
      <w:rFonts w:ascii="Times New Roman" w:hAnsi="Times New Roman"/>
      <w:b/>
      <w:sz w:val="22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Стиль 13 пт По центру"/>
    <w:basedOn w:val="a"/>
    <w:pPr>
      <w:jc w:val="both"/>
    </w:pPr>
    <w:rPr>
      <w:sz w:val="26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Balloon Text"/>
    <w:basedOn w:val="a"/>
    <w:link w:val="afd"/>
    <w:semiHidden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pPr>
      <w:ind w:firstLine="720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paragraph" w:customStyle="1" w:styleId="12">
    <w:name w:val="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Normal (Web)"/>
    <w:basedOn w:val="a"/>
    <w:pPr>
      <w:spacing w:before="100" w:beforeAutospacing="1" w:after="100" w:afterAutospacing="1"/>
    </w:p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pPr>
      <w:widowControl w:val="0"/>
      <w:ind w:firstLine="720"/>
      <w:jc w:val="both"/>
    </w:pPr>
    <w:rPr>
      <w:sz w:val="26"/>
      <w:szCs w:val="20"/>
    </w:rPr>
  </w:style>
  <w:style w:type="character" w:customStyle="1" w:styleId="afd">
    <w:name w:val="Текст выноски Знак"/>
    <w:link w:val="afc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aff1">
    <w:name w:val="Body Text Indent"/>
    <w:basedOn w:val="a"/>
    <w:pPr>
      <w:spacing w:after="120"/>
      <w:ind w:left="283"/>
    </w:pPr>
    <w:rPr>
      <w:sz w:val="20"/>
      <w:szCs w:val="20"/>
    </w:rPr>
  </w:style>
  <w:style w:type="paragraph" w:styleId="aff2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pPr>
      <w:spacing w:before="100" w:after="100"/>
      <w:ind w:firstLine="720"/>
      <w:jc w:val="center"/>
    </w:pPr>
    <w:rPr>
      <w:sz w:val="28"/>
      <w:lang w:eastAsia="ru-RU"/>
    </w:rPr>
  </w:style>
  <w:style w:type="character" w:customStyle="1" w:styleId="27">
    <w:name w:val="Основной текст 2 Знак"/>
    <w:link w:val="26"/>
    <w:semiHidden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rPr>
      <w:sz w:val="16"/>
      <w:szCs w:val="16"/>
      <w:lang w:val="ru-RU" w:eastAsia="ru-RU" w:bidi="ar-SA"/>
    </w:rPr>
  </w:style>
  <w:style w:type="character" w:customStyle="1" w:styleId="FontStyle30">
    <w:name w:val="Font Style30"/>
    <w:rPr>
      <w:rFonts w:ascii="Times New Roman" w:hAnsi="Times New Roman"/>
      <w:b/>
      <w:sz w:val="22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SAN</dc:creator>
  <cp:lastModifiedBy>AMMRUSR</cp:lastModifiedBy>
  <cp:revision>2</cp:revision>
  <dcterms:created xsi:type="dcterms:W3CDTF">2024-11-13T04:42:00Z</dcterms:created>
  <dcterms:modified xsi:type="dcterms:W3CDTF">2024-11-13T04:42:00Z</dcterms:modified>
  <cp:version>917504</cp:version>
</cp:coreProperties>
</file>