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F6E4" w14:textId="43A3C540" w:rsidR="00AD73E7" w:rsidRDefault="00AD73E7" w:rsidP="00AD73E7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B60F61" wp14:editId="0CE4E14B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965E" w14:textId="77777777" w:rsidR="00AD73E7" w:rsidRDefault="00AD73E7" w:rsidP="00AD73E7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02972A3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211F8C91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526056BD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54EC761D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E7C0E21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4836C86D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8B3DF87" w14:textId="77777777" w:rsidR="00AD73E7" w:rsidRDefault="00AD73E7" w:rsidP="00AD73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18.01.2022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                                       № 14-ра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932765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35B1027" w14:textId="77777777" w:rsidR="00AD73E7" w:rsidRDefault="00AD73E7" w:rsidP="00AD7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Стандарта внешнего финансового контроля «Экспертиза внесения изменений в бюджет Михайловского муниципального района на очередной год и плановый период»</w:t>
      </w:r>
    </w:p>
    <w:p w14:paraId="6787866D" w14:textId="77777777" w:rsidR="00AD73E7" w:rsidRDefault="00AD73E7" w:rsidP="00AD7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3CF0C4" w14:textId="77777777" w:rsidR="00AD73E7" w:rsidRDefault="00AD73E7" w:rsidP="00AD73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DED81FF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BA0D19A" w14:textId="771BAAB6" w:rsidR="00AD73E7" w:rsidRDefault="00AD73E7" w:rsidP="00AD73E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решением Думы Михайловского муниципального района от 28.10.2021 №135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 Михайловского муниципального района»</w:t>
      </w:r>
    </w:p>
    <w:p w14:paraId="2395E31A" w14:textId="77777777" w:rsidR="00AD73E7" w:rsidRDefault="00AD73E7" w:rsidP="00AD73E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363456" w14:textId="77777777" w:rsidR="00AD73E7" w:rsidRDefault="00AD73E7" w:rsidP="00AD73E7">
      <w:pPr>
        <w:pStyle w:val="a8"/>
        <w:widowControl w:val="0"/>
        <w:numPr>
          <w:ilvl w:val="0"/>
          <w:numId w:val="13"/>
        </w:numPr>
        <w:spacing w:line="276" w:lineRule="auto"/>
        <w:ind w:left="851"/>
        <w:rPr>
          <w:bCs/>
        </w:rPr>
      </w:pPr>
      <w:r>
        <w:t xml:space="preserve">Утвердить </w:t>
      </w:r>
      <w:r>
        <w:rPr>
          <w:bCs/>
        </w:rPr>
        <w:t>Стандарт внешнего финансового контроля «Экспертиза внесения изменений в бюджет Михайловского муниципального района на очередной год и плановый период» (прилагается).</w:t>
      </w:r>
    </w:p>
    <w:p w14:paraId="6282A38D" w14:textId="5BEDF678" w:rsidR="00AD73E7" w:rsidRDefault="00AD73E7" w:rsidP="00AD73E7">
      <w:pPr>
        <w:pStyle w:val="a8"/>
        <w:widowControl w:val="0"/>
        <w:numPr>
          <w:ilvl w:val="0"/>
          <w:numId w:val="13"/>
        </w:numPr>
        <w:spacing w:line="276" w:lineRule="auto"/>
        <w:ind w:left="851"/>
        <w:rPr>
          <w:szCs w:val="28"/>
        </w:rPr>
      </w:pPr>
      <w:r>
        <w:rPr>
          <w:szCs w:val="28"/>
        </w:rPr>
        <w:t xml:space="preserve">Разместить </w:t>
      </w:r>
      <w:r>
        <w:rPr>
          <w:szCs w:val="28"/>
        </w:rPr>
        <w:t>Стандарт</w:t>
      </w:r>
      <w:r>
        <w:rPr>
          <w:szCs w:val="28"/>
        </w:rPr>
        <w:t xml:space="preserve"> в сети Интернет на официальном сайте Михайловского муниципального района.</w:t>
      </w:r>
    </w:p>
    <w:p w14:paraId="48C95008" w14:textId="77777777" w:rsidR="00AD73E7" w:rsidRDefault="00AD73E7" w:rsidP="00AD73E7">
      <w:pPr>
        <w:pStyle w:val="a8"/>
        <w:widowControl w:val="0"/>
        <w:numPr>
          <w:ilvl w:val="0"/>
          <w:numId w:val="13"/>
        </w:numPr>
        <w:spacing w:line="276" w:lineRule="auto"/>
        <w:ind w:left="851"/>
      </w:pPr>
      <w:r>
        <w:t>Контроль за выполнением настоящего распоряжения оставляю за собой.</w:t>
      </w:r>
    </w:p>
    <w:p w14:paraId="6E102DC0" w14:textId="77777777" w:rsidR="00AD73E7" w:rsidRDefault="00AD73E7" w:rsidP="00AD73E7">
      <w:pPr>
        <w:pStyle w:val="a8"/>
        <w:widowControl w:val="0"/>
        <w:ind w:left="851"/>
      </w:pPr>
    </w:p>
    <w:p w14:paraId="7DB81FB3" w14:textId="77777777" w:rsidR="00AD73E7" w:rsidRDefault="00AD73E7" w:rsidP="00AD73E7">
      <w:pPr>
        <w:pStyle w:val="a8"/>
        <w:widowControl w:val="0"/>
        <w:ind w:left="1069"/>
      </w:pPr>
    </w:p>
    <w:p w14:paraId="1BA50719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0E014E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Председатель                                                         Л.Г. Соловьянова</w:t>
      </w:r>
    </w:p>
    <w:p w14:paraId="2554E228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74E3AF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4F9188" w14:textId="77777777" w:rsidR="00AD73E7" w:rsidRDefault="00AD73E7" w:rsidP="00AD73E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B7BFB0" w14:textId="77777777" w:rsidR="00AD73E7" w:rsidRDefault="00AD73E7" w:rsidP="00244A99">
      <w:pPr>
        <w:jc w:val="center"/>
      </w:pPr>
    </w:p>
    <w:p w14:paraId="54D5763F" w14:textId="77777777" w:rsidR="00AD73E7" w:rsidRDefault="00AD73E7" w:rsidP="00244A99">
      <w:pPr>
        <w:jc w:val="center"/>
      </w:pPr>
    </w:p>
    <w:p w14:paraId="7DB90777" w14:textId="77777777" w:rsidR="00AD73E7" w:rsidRDefault="00AD73E7" w:rsidP="00244A99">
      <w:pPr>
        <w:jc w:val="center"/>
      </w:pPr>
    </w:p>
    <w:p w14:paraId="18135370" w14:textId="63D83C04" w:rsidR="004D1530" w:rsidRDefault="0085325E" w:rsidP="00244A99">
      <w:pPr>
        <w:jc w:val="center"/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BC758EC" wp14:editId="69AB185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ACFB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F1CE2FC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23CDA87" w14:textId="77777777" w:rsidR="004845BC" w:rsidRDefault="004845BC" w:rsidP="00244A99">
      <w:pPr>
        <w:jc w:val="center"/>
      </w:pPr>
    </w:p>
    <w:p w14:paraId="339845FC" w14:textId="77777777" w:rsidR="004845BC" w:rsidRPr="004845BC" w:rsidRDefault="004845BC" w:rsidP="004845BC"/>
    <w:p w14:paraId="73C19F53" w14:textId="77777777" w:rsidR="004845BC" w:rsidRPr="004845BC" w:rsidRDefault="004845BC" w:rsidP="004845BC"/>
    <w:p w14:paraId="660A17A1" w14:textId="77777777" w:rsidR="004845BC" w:rsidRDefault="004845BC" w:rsidP="004845BC"/>
    <w:p w14:paraId="2C396BA8" w14:textId="77777777" w:rsidR="004845BC" w:rsidRDefault="004845BC" w:rsidP="004845BC">
      <w:pPr>
        <w:pStyle w:val="Default"/>
        <w:tabs>
          <w:tab w:val="left" w:pos="4052"/>
          <w:tab w:val="center" w:pos="5032"/>
        </w:tabs>
        <w:spacing w:before="0" w:beforeAutospacing="0" w:line="276" w:lineRule="auto"/>
        <w:ind w:firstLine="0"/>
        <w:jc w:val="left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31E3E2A6" w14:textId="77777777" w:rsidR="004845BC" w:rsidRDefault="004845BC" w:rsidP="004845BC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0E7AD33F" w14:textId="77777777" w:rsidR="004845BC" w:rsidRDefault="004845BC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1906E2AB" w14:textId="77777777" w:rsidR="00FC58EF" w:rsidRDefault="00FC58EF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3832783D" w14:textId="77777777" w:rsidR="006264C5" w:rsidRPr="006264C5" w:rsidRDefault="00916BEF" w:rsidP="006264C5">
      <w:pPr>
        <w:pStyle w:val="a5"/>
        <w:suppressAutoHyphens/>
        <w:spacing w:line="276" w:lineRule="auto"/>
        <w:jc w:val="center"/>
        <w:rPr>
          <w:szCs w:val="28"/>
        </w:rPr>
      </w:pPr>
      <w:r w:rsidRPr="006264C5">
        <w:rPr>
          <w:b/>
          <w:szCs w:val="28"/>
        </w:rPr>
        <w:t>«</w:t>
      </w:r>
      <w:r w:rsidR="006264C5" w:rsidRPr="006264C5">
        <w:rPr>
          <w:szCs w:val="28"/>
        </w:rPr>
        <w:t>ЭКСПЕРТИЗА ВНЕСЕНИЯ ИЗМЕНЕНИЙ В БЮДЖЕТ МИХАЙЛОВСКОГО МУНИЦИПАЛЬНОГО РАЙОНА НА ОЧЕРЕДНОЙ ГОД И ПЛАНОВЫЙ ПЕРИОД»</w:t>
      </w:r>
    </w:p>
    <w:p w14:paraId="033B85E5" w14:textId="77777777" w:rsidR="004845BC" w:rsidRDefault="006264C5" w:rsidP="006264C5">
      <w:pPr>
        <w:pStyle w:val="a5"/>
        <w:suppressAutoHyphens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1D8C4B7B" w14:textId="2042517F" w:rsidR="004845BC" w:rsidRDefault="004845BC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(утвержден Распоряжением Контрольно-счетной комиссии Михайловского муниципального района </w:t>
      </w:r>
    </w:p>
    <w:p w14:paraId="2A386463" w14:textId="64706DB8" w:rsidR="004845BC" w:rsidRDefault="004845BC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 18.01.2022 № 1</w:t>
      </w:r>
      <w:r w:rsidR="006B081D">
        <w:rPr>
          <w:bCs/>
          <w:color w:val="auto"/>
          <w:sz w:val="28"/>
          <w:szCs w:val="28"/>
        </w:rPr>
        <w:t>4</w:t>
      </w:r>
      <w:r>
        <w:rPr>
          <w:bCs/>
          <w:color w:val="auto"/>
          <w:sz w:val="28"/>
          <w:szCs w:val="28"/>
        </w:rPr>
        <w:t>-ра)</w:t>
      </w:r>
    </w:p>
    <w:p w14:paraId="506FE50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FB15CA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023C9E8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A9B7B6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9DB46F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C3E42F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B9B609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2D51B1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47CBE2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096FF7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BD314EE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BD6B7BD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753C039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302407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871104B" w14:textId="77777777" w:rsidR="00FC58EF" w:rsidRDefault="00FC58EF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48AE404" w14:textId="77777777" w:rsidR="001D78B9" w:rsidRDefault="001D78B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F5A2DF7" w14:textId="77777777" w:rsidR="001D78B9" w:rsidRDefault="001D78B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1A245A1" w14:textId="77777777" w:rsidR="001D78B9" w:rsidRDefault="001D78B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95616B7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6B25387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23B5536" w14:textId="77777777" w:rsidR="00FC58EF" w:rsidRPr="00FC58EF" w:rsidRDefault="00FC58EF" w:rsidP="00FC58EF">
      <w:pPr>
        <w:pStyle w:val="14"/>
        <w:shd w:val="clear" w:color="auto" w:fill="auto"/>
        <w:spacing w:after="308" w:line="280" w:lineRule="exact"/>
        <w:ind w:right="40" w:firstLine="0"/>
        <w:rPr>
          <w:rFonts w:ascii="Times New Roman" w:hAnsi="Times New Roman" w:cs="Times New Roman"/>
        </w:rPr>
      </w:pPr>
      <w:bookmarkStart w:id="0" w:name="bookmark0"/>
      <w:r w:rsidRPr="00FC58EF">
        <w:rPr>
          <w:rFonts w:ascii="Times New Roman" w:hAnsi="Times New Roman" w:cs="Times New Roman"/>
        </w:rPr>
        <w:t>СОДЕРЖАНИЕ</w:t>
      </w:r>
      <w:bookmarkEnd w:id="0"/>
    </w:p>
    <w:p w14:paraId="0940B311" w14:textId="77777777" w:rsidR="00144B10" w:rsidRDefault="00144B10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2223A5E" w14:textId="77777777" w:rsidR="00326A2A" w:rsidRPr="00326A2A" w:rsidRDefault="00AD73E7" w:rsidP="00326A2A">
      <w:pPr>
        <w:pStyle w:val="1"/>
        <w:rPr>
          <w:b/>
        </w:rPr>
      </w:pPr>
      <w:hyperlink w:anchor="bookmark2" w:tooltip="Current Document">
        <w:r w:rsidR="00A82529" w:rsidRPr="00A82529">
          <w:t>Общие положения</w:t>
        </w:r>
      </w:hyperlink>
    </w:p>
    <w:p w14:paraId="4625DB8D" w14:textId="77777777" w:rsidR="001D78B9" w:rsidRPr="001D78B9" w:rsidRDefault="001D78B9" w:rsidP="001D78B9">
      <w:pPr>
        <w:pStyle w:val="3"/>
        <w:tabs>
          <w:tab w:val="left" w:pos="858"/>
        </w:tabs>
        <w:spacing w:after="2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8B9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>
        <w:t xml:space="preserve"> </w:t>
      </w:r>
      <w:r w:rsidR="00326A2A" w:rsidRPr="00326A2A">
        <w:t xml:space="preserve"> </w:t>
      </w:r>
      <w:r w:rsidRPr="001D78B9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проведению экспертизы внесения изменений в бюджет Михайловского муниципального района  на очередной финансовый год и плановый период</w:t>
      </w:r>
    </w:p>
    <w:p w14:paraId="35647AED" w14:textId="77777777" w:rsidR="00326A2A" w:rsidRPr="00326A2A" w:rsidRDefault="001D78B9" w:rsidP="001D78B9">
      <w:pPr>
        <w:pStyle w:val="1"/>
        <w:numPr>
          <w:ilvl w:val="0"/>
          <w:numId w:val="0"/>
        </w:numPr>
      </w:pPr>
      <w:r>
        <w:t>3. Т</w:t>
      </w:r>
      <w:r w:rsidR="00326A2A" w:rsidRPr="00326A2A">
        <w:t>ребования к оформлению результатов экспертизы</w:t>
      </w:r>
    </w:p>
    <w:p w14:paraId="6ACCB39B" w14:textId="77777777" w:rsidR="00244A99" w:rsidRDefault="00244A99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4A133586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DF92507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A0E6518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549249B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720E34C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60CD59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56C084E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C87867B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663EF6F8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8958394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AE5856E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23C9D7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A70885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A2A288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E607C43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68BCDF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C68417C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6A50EF6" w14:textId="77777777" w:rsidR="001D78B9" w:rsidRDefault="001D78B9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53BAFD6" w14:textId="77777777" w:rsidR="001D78B9" w:rsidRDefault="001D78B9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7DD56E9E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001A75A" w14:textId="77777777" w:rsidR="00F34BBA" w:rsidRDefault="00641C1F" w:rsidP="001D78B9">
      <w:pPr>
        <w:pStyle w:val="10"/>
        <w:spacing w:before="0" w:line="240" w:lineRule="auto"/>
        <w:rPr>
          <w:color w:val="auto"/>
        </w:rPr>
      </w:pPr>
      <w:r>
        <w:rPr>
          <w:color w:val="auto"/>
        </w:rPr>
        <w:t xml:space="preserve">                                                  1. </w:t>
      </w:r>
      <w:r w:rsidRPr="00641C1F">
        <w:rPr>
          <w:color w:val="auto"/>
        </w:rPr>
        <w:t xml:space="preserve">Общие положения </w:t>
      </w:r>
    </w:p>
    <w:p w14:paraId="5A7DD639" w14:textId="77777777" w:rsidR="001D78B9" w:rsidRPr="001D78B9" w:rsidRDefault="001D78B9" w:rsidP="001D78B9"/>
    <w:p w14:paraId="28904132" w14:textId="77777777" w:rsidR="009208F1" w:rsidRDefault="009208F1" w:rsidP="001D78B9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1.1. Стандарт финансового контроля «Экспертиза внесения изменений в бюджет </w:t>
      </w:r>
      <w:r w:rsidR="00641C1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период» (далее – Стандарт) подготовлен для организации исполнения ст. 157, 268.1 Бюджетного кодекса Российской Федерации, п.1 ст. 17.1 Федерального закона от 06.10.2003 № 131-ФЗ «Об общих принципах организации местного самоуправления в Российской Федерации», </w:t>
      </w:r>
      <w:r w:rsidR="00641C1F">
        <w:rPr>
          <w:rFonts w:ascii="Times New Roman" w:hAnsi="Times New Roman" w:cs="Times New Roman"/>
          <w:sz w:val="28"/>
          <w:szCs w:val="28"/>
        </w:rPr>
        <w:t xml:space="preserve"> 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п. 2        ст. 9 и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641C1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02014" w:rsidRPr="00641C1F">
        <w:rPr>
          <w:rFonts w:ascii="Times New Roman" w:hAnsi="Times New Roman" w:cs="Times New Roman"/>
          <w:sz w:val="28"/>
          <w:szCs w:val="28"/>
        </w:rPr>
        <w:t>, утвержденного решение</w:t>
      </w:r>
      <w:r w:rsidR="00641C1F">
        <w:rPr>
          <w:rFonts w:ascii="Times New Roman" w:hAnsi="Times New Roman" w:cs="Times New Roman"/>
          <w:sz w:val="28"/>
          <w:szCs w:val="28"/>
        </w:rPr>
        <w:t xml:space="preserve">м 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41C1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641C1F" w:rsidRPr="00641C1F">
        <w:rPr>
          <w:rFonts w:ascii="Times New Roman" w:hAnsi="Times New Roman" w:cs="Times New Roman"/>
          <w:sz w:val="28"/>
          <w:szCs w:val="28"/>
        </w:rPr>
        <w:t xml:space="preserve"> 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от </w:t>
      </w:r>
      <w:r w:rsidR="009E0747">
        <w:rPr>
          <w:rFonts w:ascii="Times New Roman" w:hAnsi="Times New Roman" w:cs="Times New Roman"/>
          <w:sz w:val="28"/>
          <w:szCs w:val="28"/>
        </w:rPr>
        <w:t>25.01.2018г. № 254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2014" w:rsidRPr="00641C1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 </w:t>
      </w:r>
      <w:r w:rsidRPr="009208F1">
        <w:rPr>
          <w:rFonts w:ascii="Times New Roman" w:hAnsi="Times New Roman" w:cs="Times New Roman"/>
          <w:sz w:val="28"/>
          <w:szCs w:val="28"/>
        </w:rPr>
        <w:t>о бюджетном процессе в Михайловском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8F1">
        <w:rPr>
          <w:rFonts w:ascii="Times New Roman" w:hAnsi="Times New Roman" w:cs="Times New Roman"/>
          <w:sz w:val="28"/>
          <w:szCs w:val="28"/>
        </w:rPr>
        <w:t xml:space="preserve"> </w:t>
      </w:r>
      <w:r w:rsidRPr="00641C1F">
        <w:rPr>
          <w:rFonts w:ascii="Times New Roman" w:hAnsi="Times New Roman" w:cs="Times New Roman"/>
          <w:sz w:val="28"/>
          <w:szCs w:val="28"/>
        </w:rPr>
        <w:t>утвержденного 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41C1F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641C1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24.08.2017г. № 205, </w:t>
      </w:r>
      <w:r>
        <w:rPr>
          <w:b/>
          <w:sz w:val="28"/>
          <w:szCs w:val="28"/>
        </w:rPr>
        <w:t xml:space="preserve"> </w:t>
      </w:r>
      <w:r w:rsidRPr="0044086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086F">
        <w:rPr>
          <w:rFonts w:ascii="Times New Roman" w:hAnsi="Times New Roman" w:cs="Times New Roman"/>
          <w:sz w:val="28"/>
          <w:szCs w:val="28"/>
        </w:rPr>
        <w:t xml:space="preserve"> «О Контрольно-счётной комиссии  Михайловского муниципального  района»,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086F">
        <w:rPr>
          <w:rFonts w:ascii="Times New Roman" w:hAnsi="Times New Roman" w:cs="Times New Roman"/>
          <w:sz w:val="28"/>
          <w:szCs w:val="28"/>
        </w:rPr>
        <w:t xml:space="preserve"> решением Думы Михайловского муниципального  района  от 28.10.2020 № 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1DF80" w14:textId="77777777" w:rsidR="00B47B44" w:rsidRDefault="00B47B44" w:rsidP="009208F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B87FE27" w14:textId="77777777" w:rsidR="00B47B44" w:rsidRDefault="00B47B44" w:rsidP="00B47B44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7B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1.2. Настоящий стандарт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N 47К (993) с учетом положений международных стандартов государственного аудита ИНТОСАИ. </w:t>
      </w:r>
    </w:p>
    <w:p w14:paraId="3B2DF10A" w14:textId="77777777" w:rsidR="00B47B44" w:rsidRDefault="00B47B44" w:rsidP="00B47B44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7B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Стандарт не распространяет свое действие на проведение экспертизы проекта бюджета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Pr="00B47B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очередной финансовый год и плановый период, внешней проверки отчета об исполнении бюджета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Pr="00B47B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очередной финансовый год, экспертизы муниципальных программ, экспертизы проектов решений представительного органа. </w:t>
      </w:r>
    </w:p>
    <w:p w14:paraId="6C84E26C" w14:textId="77777777" w:rsidR="005A600E" w:rsidRPr="005A600E" w:rsidRDefault="005A600E" w:rsidP="005A600E"/>
    <w:p w14:paraId="40EF489D" w14:textId="77777777" w:rsidR="001D78B9" w:rsidRDefault="006A255C" w:rsidP="001D78B9">
      <w:pPr>
        <w:jc w:val="both"/>
        <w:rPr>
          <w:rFonts w:ascii="Times New Roman" w:hAnsi="Times New Roman" w:cs="Times New Roman"/>
          <w:sz w:val="28"/>
          <w:szCs w:val="28"/>
        </w:rPr>
      </w:pPr>
      <w:r w:rsidRPr="006A255C">
        <w:rPr>
          <w:rFonts w:ascii="Times New Roman" w:hAnsi="Times New Roman" w:cs="Times New Roman"/>
          <w:sz w:val="28"/>
          <w:szCs w:val="28"/>
        </w:rPr>
        <w:t xml:space="preserve">          1.3. Стандарт определяет общие требования и принципы проведения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255C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6A255C">
        <w:rPr>
          <w:rFonts w:ascii="Times New Roman" w:hAnsi="Times New Roman" w:cs="Times New Roman"/>
          <w:sz w:val="28"/>
          <w:szCs w:val="28"/>
        </w:rPr>
        <w:t xml:space="preserve"> </w:t>
      </w:r>
      <w:r w:rsidRPr="0044086F">
        <w:rPr>
          <w:rFonts w:ascii="Times New Roman" w:hAnsi="Times New Roman" w:cs="Times New Roman"/>
          <w:sz w:val="28"/>
          <w:szCs w:val="28"/>
        </w:rPr>
        <w:t>Михайловского муниципального  района</w:t>
      </w:r>
      <w:r w:rsidRPr="006A255C">
        <w:rPr>
          <w:rFonts w:ascii="Times New Roman" w:hAnsi="Times New Roman" w:cs="Times New Roman"/>
          <w:sz w:val="28"/>
          <w:szCs w:val="28"/>
        </w:rPr>
        <w:t xml:space="preserve"> </w:t>
      </w:r>
      <w:r w:rsidRPr="0044086F">
        <w:rPr>
          <w:rFonts w:ascii="Times New Roman" w:hAnsi="Times New Roman" w:cs="Times New Roman"/>
          <w:sz w:val="28"/>
          <w:szCs w:val="28"/>
        </w:rPr>
        <w:t>(далее – Контрольно-счетная комиссия, КСК ММР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A255C">
        <w:rPr>
          <w:rFonts w:ascii="Times New Roman" w:hAnsi="Times New Roman" w:cs="Times New Roman"/>
          <w:sz w:val="28"/>
          <w:szCs w:val="28"/>
        </w:rPr>
        <w:t xml:space="preserve">экспертизы проекта решения о внесении изменений в решение о бюджете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641C1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6A2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55C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255C">
        <w:rPr>
          <w:rFonts w:ascii="Times New Roman" w:hAnsi="Times New Roman" w:cs="Times New Roman"/>
          <w:sz w:val="28"/>
          <w:szCs w:val="28"/>
        </w:rPr>
        <w:t xml:space="preserve"> в пределах полномочий и задач, возложенных на КС</w:t>
      </w:r>
      <w:r>
        <w:rPr>
          <w:rFonts w:ascii="Times New Roman" w:hAnsi="Times New Roman" w:cs="Times New Roman"/>
          <w:sz w:val="28"/>
          <w:szCs w:val="28"/>
        </w:rPr>
        <w:t>К ММР</w:t>
      </w:r>
      <w:r w:rsidRPr="006A255C">
        <w:rPr>
          <w:rFonts w:ascii="Times New Roman" w:hAnsi="Times New Roman" w:cs="Times New Roman"/>
          <w:sz w:val="28"/>
          <w:szCs w:val="28"/>
        </w:rPr>
        <w:t>.</w:t>
      </w:r>
    </w:p>
    <w:p w14:paraId="36C180C8" w14:textId="77777777" w:rsidR="00443830" w:rsidRPr="00443830" w:rsidRDefault="00443830" w:rsidP="001D7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830">
        <w:rPr>
          <w:rFonts w:ascii="Times New Roman" w:hAnsi="Times New Roman" w:cs="Times New Roman"/>
          <w:sz w:val="28"/>
          <w:szCs w:val="28"/>
        </w:rPr>
        <w:t>1.4. Стандарт предназначен для использования должностными лицами КСК ММР при организации и проведении предварительного контроля внесения изменений в бюджет района на очередной финансовый год и плановый период, проведения экспертизы и подготовки соответствующего заключения.</w:t>
      </w:r>
    </w:p>
    <w:p w14:paraId="38765904" w14:textId="77777777" w:rsidR="00443830" w:rsidRDefault="00443830" w:rsidP="00443830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383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1.5. Целью Стандарта является установление единых принципов, правил и процедур проведения предварительного контроля внесения изменений в бюджет района на очередной финансовый год и плановый период. </w:t>
      </w:r>
    </w:p>
    <w:p w14:paraId="2F41B88F" w14:textId="77777777" w:rsidR="001D78B9" w:rsidRDefault="001D78B9" w:rsidP="00C46D66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7521215" w14:textId="77777777" w:rsidR="00146AA8" w:rsidRPr="00C46D66" w:rsidRDefault="001833E4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>1.6. Задачи, решаемые Стандартом:</w:t>
      </w:r>
    </w:p>
    <w:p w14:paraId="728C51B8" w14:textId="77777777" w:rsidR="00146AA8" w:rsidRPr="00C46D66" w:rsidRDefault="00146AA8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определение основных принципов и этапов проведения предварительного контроля внесения изменений в бюджет </w:t>
      </w:r>
      <w:r w:rsidR="00C46D66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на плановый период; </w:t>
      </w:r>
    </w:p>
    <w:p w14:paraId="0C27F27D" w14:textId="77777777" w:rsidR="00146AA8" w:rsidRPr="00C46D66" w:rsidRDefault="00146AA8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установление требований к содержанию экспертно-аналитического мероприятия и проверок обоснованности вносимых изменений в бюджет </w:t>
      </w:r>
      <w:r w:rsidR="00C46D66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на плановый период; </w:t>
      </w:r>
    </w:p>
    <w:p w14:paraId="738E5596" w14:textId="004F2206" w:rsidR="00146AA8" w:rsidRPr="00C46D66" w:rsidRDefault="00146AA8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>- о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пределение структуры, содержания и основных требований к заключению </w:t>
      </w:r>
      <w:r w:rsidR="00C46D66">
        <w:rPr>
          <w:rFonts w:ascii="Times New Roman" w:hAnsi="Times New Roman" w:cs="Times New Roman"/>
          <w:b w:val="0"/>
          <w:color w:val="auto"/>
          <w:sz w:val="28"/>
          <w:szCs w:val="28"/>
        </w:rPr>
        <w:t>КСК ММР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проект решения о внесении изменений в бюджет </w:t>
      </w:r>
      <w:r w:rsid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плановый период</w:t>
      </w:r>
      <w:r w:rsidR="00163E0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1833E4"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367653D4" w14:textId="70318086" w:rsidR="00146AA8" w:rsidRDefault="001833E4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47ABB10" w14:textId="77777777" w:rsidR="001D78B9" w:rsidRDefault="001D78B9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36746DB" w14:textId="77777777" w:rsidR="00C46D66" w:rsidRDefault="00C46D66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1.7. При проведении экспертизы КСК ММР в рамках своей компетенции вправе отражать возможные коррупциогенные риски, усматриваемые в ходе ее проведения. </w:t>
      </w:r>
    </w:p>
    <w:p w14:paraId="4C1604B8" w14:textId="77777777" w:rsidR="001D78B9" w:rsidRPr="001D78B9" w:rsidRDefault="001D78B9" w:rsidP="001D78B9"/>
    <w:p w14:paraId="03BFD36D" w14:textId="77777777" w:rsidR="001D78B9" w:rsidRPr="00C46D66" w:rsidRDefault="001D78B9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1.8. В соответствии с подпунктами 6 и 7 части 1 статьи 14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3 и пунктом 2 части 1 статьи 6 Федерального закона от 27.07.2006 № 152-ФЗ «О персональных данных» должностные лица главных распорядителей, распорядителей, получателей бюджетных средств по требованию сотрудников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Контрольно-счетной комиссии Михайловского муниципального района</w:t>
      </w:r>
      <w:r w:rsidRPr="00C46D66">
        <w:rPr>
          <w:rFonts w:ascii="Times New Roman" w:hAnsi="Times New Roman" w:cs="Times New Roman"/>
          <w:b w:val="0"/>
          <w:color w:val="auto"/>
          <w:sz w:val="28"/>
          <w:szCs w:val="28"/>
        </w:rPr>
        <w:t>, осуществляющих экспертизу, обязаны предоставлять запрашиваемую ими информацию, относящуюся к персональным данным. При этом получение согласия субъектов персональных данных на обработку персональных данных не требуется.</w:t>
      </w:r>
    </w:p>
    <w:p w14:paraId="711EA222" w14:textId="77777777" w:rsidR="001D78B9" w:rsidRDefault="001D78B9" w:rsidP="001D78B9"/>
    <w:p w14:paraId="3F3EF2A1" w14:textId="77777777" w:rsidR="001D78B9" w:rsidRDefault="001D78B9" w:rsidP="001D78B9">
      <w:pPr>
        <w:pStyle w:val="3"/>
        <w:tabs>
          <w:tab w:val="left" w:pos="858"/>
        </w:tabs>
        <w:spacing w:after="240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ab/>
      </w:r>
    </w:p>
    <w:p w14:paraId="6CEEE320" w14:textId="77777777" w:rsidR="001D78B9" w:rsidRPr="00F413A3" w:rsidRDefault="001D78B9" w:rsidP="001D78B9"/>
    <w:p w14:paraId="238C3E42" w14:textId="77777777" w:rsidR="001D78B9" w:rsidRPr="001D78B9" w:rsidRDefault="001D78B9" w:rsidP="001D78B9">
      <w:pPr>
        <w:tabs>
          <w:tab w:val="left" w:pos="2977"/>
        </w:tabs>
      </w:pPr>
    </w:p>
    <w:p w14:paraId="563D38BA" w14:textId="77777777" w:rsidR="00822F3D" w:rsidRDefault="00822F3D" w:rsidP="00822F3D">
      <w:pPr>
        <w:pStyle w:val="3"/>
        <w:tabs>
          <w:tab w:val="left" w:pos="858"/>
        </w:tabs>
        <w:spacing w:after="24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2F3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 Требования к проведению экспертизы внесения изменений в бюджет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Михайловского муниципального района </w:t>
      </w:r>
      <w:r w:rsidRPr="00822F3D">
        <w:rPr>
          <w:rFonts w:ascii="Times New Roman" w:hAnsi="Times New Roman" w:cs="Times New Roman"/>
          <w:color w:val="auto"/>
          <w:sz w:val="28"/>
          <w:szCs w:val="28"/>
        </w:rPr>
        <w:t xml:space="preserve"> на очередной финансовый год и плановый период</w:t>
      </w:r>
    </w:p>
    <w:p w14:paraId="05B60DBE" w14:textId="56446C27" w:rsidR="00822F3D" w:rsidRDefault="00822F3D" w:rsidP="00F413A3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F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 Предварительный контроль внесения изменений в бюджет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Михайловского муниципального района (далее – бюджет района)</w:t>
      </w:r>
      <w:r w:rsidRPr="00822F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плановый период является экспертно-аналитическим мероприятием, направленным на осуществление анализа обоснованности показателей внесения изменений в бюджет района на очередной финансовый год и плановый период,  наличия и состояния нормативной методической базы внесения изменений в бюджет района  и подготовки заключения КСК ММР на проект решения Думы Михайловского муниципального района  о внесении изменений в бюджет муниципального образования на очередной финансовый год и плановый период.</w:t>
      </w:r>
    </w:p>
    <w:p w14:paraId="3439E128" w14:textId="77777777" w:rsidR="00F413A3" w:rsidRPr="00F413A3" w:rsidRDefault="00F413A3" w:rsidP="00F413A3"/>
    <w:p w14:paraId="2B7F78AD" w14:textId="77777777" w:rsidR="00822F3D" w:rsidRDefault="00D83B69" w:rsidP="00F4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F3D" w:rsidRPr="00D83B69">
        <w:rPr>
          <w:rFonts w:ascii="Times New Roman" w:hAnsi="Times New Roman" w:cs="Times New Roman"/>
          <w:sz w:val="28"/>
          <w:szCs w:val="28"/>
        </w:rPr>
        <w:t xml:space="preserve">2.2. Целью предварительного контроля внесения изменений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22F3D" w:rsidRPr="00D83B69">
        <w:rPr>
          <w:rFonts w:ascii="Times New Roman" w:hAnsi="Times New Roman" w:cs="Times New Roman"/>
          <w:sz w:val="28"/>
          <w:szCs w:val="28"/>
        </w:rPr>
        <w:t xml:space="preserve"> является определение достоверности и обоснованности показателей вносимых изменений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22F3D" w:rsidRPr="00D83B6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14:paraId="544540B7" w14:textId="77777777" w:rsidR="00F413A3" w:rsidRPr="00D83B69" w:rsidRDefault="00F413A3" w:rsidP="00F4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08B56" w14:textId="77777777" w:rsidR="000D29FB" w:rsidRPr="00F413A3" w:rsidRDefault="000D29FB" w:rsidP="00F4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3A3">
        <w:rPr>
          <w:rFonts w:ascii="Times New Roman" w:hAnsi="Times New Roman" w:cs="Times New Roman"/>
          <w:sz w:val="28"/>
          <w:szCs w:val="28"/>
        </w:rPr>
        <w:t xml:space="preserve">2.3. Задачами предварительного контроля внесения изменений в бюджет </w:t>
      </w:r>
      <w:r w:rsidR="00F413A3">
        <w:rPr>
          <w:rFonts w:ascii="Times New Roman" w:hAnsi="Times New Roman" w:cs="Times New Roman"/>
          <w:sz w:val="28"/>
          <w:szCs w:val="28"/>
        </w:rPr>
        <w:t>района</w:t>
      </w:r>
      <w:r w:rsidRPr="00F413A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7E7E60CB" w14:textId="77777777" w:rsidR="000D29FB" w:rsidRPr="00F413A3" w:rsidRDefault="00F413A3" w:rsidP="00F4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D29FB" w:rsidRPr="00F413A3">
        <w:rPr>
          <w:rFonts w:ascii="Times New Roman" w:hAnsi="Times New Roman" w:cs="Times New Roman"/>
          <w:sz w:val="28"/>
          <w:szCs w:val="28"/>
        </w:rPr>
        <w:t>пределение соответствия действующему законодательству и нормативно</w:t>
      </w:r>
      <w:r w:rsidR="00770FAD">
        <w:rPr>
          <w:rFonts w:ascii="Times New Roman" w:hAnsi="Times New Roman" w:cs="Times New Roman"/>
          <w:sz w:val="28"/>
          <w:szCs w:val="28"/>
        </w:rPr>
        <w:t>-</w:t>
      </w:r>
      <w:r w:rsidR="000D29FB" w:rsidRPr="00F413A3">
        <w:rPr>
          <w:rFonts w:ascii="Times New Roman" w:hAnsi="Times New Roman" w:cs="Times New Roman"/>
          <w:sz w:val="28"/>
          <w:szCs w:val="28"/>
        </w:rPr>
        <w:t xml:space="preserve">правовым актам органов местного самоуправления проекта решения о внесении изменений в бюджет </w:t>
      </w:r>
      <w:r w:rsidR="00770F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D29FB" w:rsidRPr="00F413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документов и материалов, представляемых одновременно с ним в </w:t>
      </w:r>
      <w:r w:rsidR="00770FAD">
        <w:rPr>
          <w:rFonts w:ascii="Times New Roman" w:hAnsi="Times New Roman" w:cs="Times New Roman"/>
          <w:sz w:val="28"/>
          <w:szCs w:val="28"/>
        </w:rPr>
        <w:t>Думу района</w:t>
      </w:r>
      <w:r w:rsidR="000D29FB" w:rsidRPr="00F413A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544401" w14:textId="77777777" w:rsidR="00354A49" w:rsidRDefault="00A47832" w:rsidP="00F4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9FB" w:rsidRPr="00F413A3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о внесении изменений в бюджет </w:t>
      </w:r>
      <w:r w:rsidR="00770FAD">
        <w:rPr>
          <w:rFonts w:ascii="Times New Roman" w:hAnsi="Times New Roman" w:cs="Times New Roman"/>
          <w:sz w:val="28"/>
          <w:szCs w:val="28"/>
        </w:rPr>
        <w:t>района</w:t>
      </w:r>
      <w:r w:rsidR="000D29FB" w:rsidRPr="00F413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документах и материалах, представляемых одновременно с ним</w:t>
      </w:r>
      <w:r w:rsidR="00770FAD">
        <w:rPr>
          <w:rFonts w:ascii="Times New Roman" w:hAnsi="Times New Roman" w:cs="Times New Roman"/>
          <w:sz w:val="28"/>
          <w:szCs w:val="28"/>
        </w:rPr>
        <w:t>.</w:t>
      </w:r>
    </w:p>
    <w:p w14:paraId="28C1C8BC" w14:textId="77777777" w:rsidR="00354A49" w:rsidRDefault="00354A49" w:rsidP="00F4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E9D21" w14:textId="77777777" w:rsidR="00354A49" w:rsidRDefault="00354A49" w:rsidP="00354A4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0FAD">
        <w:rPr>
          <w:rFonts w:ascii="Times New Roman" w:hAnsi="Times New Roman" w:cs="Times New Roman"/>
          <w:b w:val="0"/>
          <w:color w:val="auto"/>
          <w:sz w:val="28"/>
          <w:szCs w:val="28"/>
        </w:rPr>
        <w:t>2.4. Предметом предварительного контроля внесения изменений в бюджет района  являются проект решения о внесении изменений в бюджет муниципального образования на очередной финансовый год и плановый период, документы и материалы, представляемые одновременно с ним в Думу района, и иные документы и информация, запрашиваемые КС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ММР</w:t>
      </w:r>
      <w:r w:rsidRPr="00770F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проведения экспертизы.</w:t>
      </w:r>
    </w:p>
    <w:p w14:paraId="561EC3BE" w14:textId="77777777" w:rsidR="00354A49" w:rsidRPr="00354A49" w:rsidRDefault="00354A49" w:rsidP="00354A49"/>
    <w:p w14:paraId="7548382C" w14:textId="77777777" w:rsidR="00354A49" w:rsidRPr="00354A49" w:rsidRDefault="00354A49" w:rsidP="00A4783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4A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2.5. При осуществлении предварительного контроля внесения изменений в бюджет района  на очередной финансовый год и на плановый период проверяется и анализируется соответствие вносимых изменений в бюджет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Pr="00354A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положениям Бюджетного кодекса РФ и требованиям Положения о бюджетном процессе по следующим позициям:</w:t>
      </w:r>
    </w:p>
    <w:p w14:paraId="6E9FDC41" w14:textId="77777777" w:rsidR="00354A49" w:rsidRPr="00354A49" w:rsidRDefault="00354A49" w:rsidP="00A47832">
      <w:pPr>
        <w:spacing w:after="0" w:line="240" w:lineRule="auto"/>
      </w:pPr>
    </w:p>
    <w:p w14:paraId="05D19597" w14:textId="77777777" w:rsidR="00354A49" w:rsidRPr="00A47832" w:rsidRDefault="00A47832" w:rsidP="00A4783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2.5</w:t>
      </w:r>
      <w:r w:rsidR="00354A49"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.1. Соблюдение принципов бюджетной системы Российской Федерации определенных статьей 28 и  установленных статьями 29-38.2 Бюджетного кодекса РФ.</w:t>
      </w:r>
    </w:p>
    <w:p w14:paraId="54646B97" w14:textId="77777777" w:rsidR="00354A49" w:rsidRPr="00A47832" w:rsidRDefault="00A47832" w:rsidP="00A4783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2.5</w:t>
      </w:r>
      <w:r w:rsidR="00354A49"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.2. При оценке и анализе доходов бюджета района следует обратить внимание на порядок зачисления доходов в бюджет, определенный в статьях 40, 41, 42, 46, 61.2, 62 и 64 Бюджетного кодекса РФ,  изменение налоговых и неналоговых доходов местного бюджета.</w:t>
      </w:r>
    </w:p>
    <w:p w14:paraId="2B80605D" w14:textId="77777777" w:rsidR="00354A49" w:rsidRPr="00A47832" w:rsidRDefault="00A47832" w:rsidP="00A4783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2.5</w:t>
      </w:r>
      <w:r w:rsidR="00354A49"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.3. При оценке и анализе расходов бюджета района  обратить внимание на следующее:</w:t>
      </w:r>
    </w:p>
    <w:p w14:paraId="76FDA7D3" w14:textId="77777777" w:rsidR="00354A49" w:rsidRPr="00A47832" w:rsidRDefault="00A47832" w:rsidP="00A47832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354A49"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- обеспечение закрепленного в статье 37 Бюджетного кодекса РФ принципа достоверности бюджета, который означает, в том числе реалистичность расчета расходов бюджета;</w:t>
      </w:r>
    </w:p>
    <w:p w14:paraId="7C1C33E6" w14:textId="77777777" w:rsidR="00354A49" w:rsidRPr="00A47832" w:rsidRDefault="00A47832" w:rsidP="00A47832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354A49"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соблюдение положений формирования расходов бюджета, установленных в статье 65 Бюджетного кодекса РФ,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Федерации,, 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14:paraId="60FFEE45" w14:textId="77777777" w:rsidR="00354A49" w:rsidRPr="00A47832" w:rsidRDefault="00A47832" w:rsidP="00A47832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354A49"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обоснование бюджетных ассигнований в соответствии со статьями 69, 69.1,70, 74, 74.1 , 78, 78.1 , 79, 80, 81 и 83 Бюджетного кодекса РФ;</w:t>
      </w:r>
    </w:p>
    <w:p w14:paraId="5564C6AD" w14:textId="77777777" w:rsidR="00354A49" w:rsidRPr="00A47832" w:rsidRDefault="00354A49" w:rsidP="00A47832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- изменения предельных объемов финансирования действующих и принимаемых расходных обязательств;</w:t>
      </w:r>
    </w:p>
    <w:p w14:paraId="1626AD1F" w14:textId="77777777" w:rsidR="00354A49" w:rsidRPr="00A47832" w:rsidRDefault="00354A49" w:rsidP="00A47832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- обоснованность вносимых изменений в целевые показатели и бюджетные ассигнования муниципальных программ.</w:t>
      </w:r>
    </w:p>
    <w:p w14:paraId="64CC42AB" w14:textId="77777777" w:rsidR="00A47832" w:rsidRPr="00A47832" w:rsidRDefault="00A47832" w:rsidP="00A4783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2.5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.4. При оценке и анализе межбюджетных отношений следует обратить внимание на соблюдение условий предоставления межбюджетных трансфертов из бюджета Приморского края, а также форм межбюджетных трансфертов,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предоставляемых из бюджета Приморского края в соответствии со статьями 136, 137, 138, 139, 139.1, 140 Бюджетного кодекса РФ.</w:t>
      </w:r>
    </w:p>
    <w:p w14:paraId="0B26941C" w14:textId="2FACF639" w:rsidR="00A47832" w:rsidRPr="00A47832" w:rsidRDefault="00A47832" w:rsidP="00A4783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2.5.5. При оценке и анализе источников финансирования дефицита бюджета </w:t>
      </w:r>
      <w:r w:rsidR="00163E01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муниципального долга отразить соблюдение требований следующих статей Бюджетного кодекса РФ:</w:t>
      </w:r>
    </w:p>
    <w:p w14:paraId="620C9E8E" w14:textId="77777777" w:rsidR="00A47832" w:rsidRPr="00A47832" w:rsidRDefault="00A47832" w:rsidP="00A47832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- с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татьи 32 Бюджетного кодекса РФ по полноте отражения доходов, расходов и источников финансирования дефицитов бюджетов, статьи 92.1 Бюджетного кодекса РФ по установлению размера дефицита местного бюджета и ограничения по источникам его финансирования, статьи 93.1 Бюджетного кодекса РФ по зачислению средств от продажи акций и иных форм участия в капитале, находящихся в муниципальной собственности, статей 93.2, 93.3 Бюджетного кодекса РФ по предоставлению бюджетных кредитов, статьи 96 Бюджетного кодекса РФ по составу источников финансирования дефицита местного бюджета и утверждению их в решении о бюджете на очередной финансовый год и плановый период;</w:t>
      </w:r>
    </w:p>
    <w:p w14:paraId="192BAA1F" w14:textId="77777777" w:rsidR="00A47832" w:rsidRDefault="00A47832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-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статей 101 и 102 Бюджетного кодекса РФ по управлению муниципальным долгом и соблюдению ответственности по долговым обязательствам муниципального образования, статьи 100 Бюджетного кодекса РФ по структуре муниципального долга, видам и срочности долговых обязательств муниципального образования, статьи 102 Бюджетного кодекса РФ по соблюдению ответственности по долговым обязательствам муниципального образования, статьи 103 Бюджетного кодекса РФ по осуществлению муниципальных заимствований,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статей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7832">
        <w:rPr>
          <w:rFonts w:ascii="Times New Roman" w:hAnsi="Times New Roman" w:cs="Times New Roman"/>
          <w:b w:val="0"/>
          <w:color w:val="auto"/>
          <w:sz w:val="28"/>
          <w:szCs w:val="28"/>
        </w:rPr>
        <w:t>110.1, 110.2 Бюджетного кодекса РФ по программам муниципальных внутренних заимствований  и муниципальных гарантий и внесению изменений в указанные программы, статей 113, 114, 115, 115.1, 115.2 и 117 Бюджетного кодекса РФ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 гарантиям, условий предоставления муниципальных гарантий.</w:t>
      </w:r>
    </w:p>
    <w:p w14:paraId="3B2A1664" w14:textId="77777777" w:rsidR="00C95FCE" w:rsidRPr="00C95FCE" w:rsidRDefault="00C95FCE" w:rsidP="00C62C74">
      <w:pPr>
        <w:spacing w:after="0" w:line="240" w:lineRule="auto"/>
      </w:pPr>
    </w:p>
    <w:p w14:paraId="58A9DDD5" w14:textId="77777777" w:rsidR="00570E74" w:rsidRPr="00C95FCE" w:rsidRDefault="00570E74" w:rsidP="00C62C74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F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2.6. Методические подходы к осуществлению предварительного контроля внесения изменений в бюджет </w:t>
      </w:r>
      <w:r w:rsidR="00C95FCE" w:rsidRPr="00C95F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Pr="00C95F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плановый период по основным вопросам состоят из следующих блоков:</w:t>
      </w:r>
    </w:p>
    <w:p w14:paraId="07B0169D" w14:textId="77777777" w:rsidR="00BE16AB" w:rsidRPr="00C62C74" w:rsidRDefault="00C62C74" w:rsidP="00C62C74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2.6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.1. Проверка и анализ обоснованности и достоверности изменений доходных статей бюджета на очередной финансовый год и плановый период предусматривает:</w:t>
      </w:r>
    </w:p>
    <w:p w14:paraId="09603D89" w14:textId="77777777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факторный анализ изменения доходных источников бюджета на очередной финансовый год и плановый период по сравнению с их оценкой в очередном году;</w:t>
      </w:r>
    </w:p>
    <w:p w14:paraId="4C256299" w14:textId="38F2C458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</w:t>
      </w:r>
      <w:r w:rsidR="00BF0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поступлений от использования имущества, находящегося в муниципальной собственности,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14:paraId="51445967" w14:textId="77777777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изменений межбюджетных трансфертов.</w:t>
      </w:r>
    </w:p>
    <w:p w14:paraId="4626ABBE" w14:textId="77777777" w:rsidR="00BE16AB" w:rsidRPr="00C62C74" w:rsidRDefault="00C62C74" w:rsidP="00C62C74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2.6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.2. Проверка и анализ полноты отражения и достоверности изменений расходов бюджета на очередной финансовый год и на плановый период предусматривает:</w:t>
      </w:r>
    </w:p>
    <w:p w14:paraId="5497845E" w14:textId="77777777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изменения бюджетных ассигнований, направляемых на исполнение муниципальных программ;</w:t>
      </w:r>
    </w:p>
    <w:p w14:paraId="53BDFD03" w14:textId="77777777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изменения бюджетных ассигнований, направляемых на исполнение публичных нормативных обязательств;</w:t>
      </w:r>
    </w:p>
    <w:p w14:paraId="3AA04763" w14:textId="77777777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изменения непрограммных расходов.</w:t>
      </w:r>
    </w:p>
    <w:p w14:paraId="31DF7F00" w14:textId="77777777" w:rsidR="00BE16AB" w:rsidRPr="00C62C74" w:rsidRDefault="00BE16AB" w:rsidP="00C62C74">
      <w:pPr>
        <w:pStyle w:val="3"/>
        <w:tabs>
          <w:tab w:val="left" w:pos="858"/>
        </w:tabs>
        <w:spacing w:before="0" w:line="240" w:lineRule="auto"/>
        <w:ind w:left="128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617FB43" w14:textId="77777777" w:rsidR="00BE16AB" w:rsidRPr="00C62C74" w:rsidRDefault="00C62C74" w:rsidP="00C62C74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2.6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.3. Проверка и анализ обоснованности и достоверности изменения источников финансирования дефицита бюджета и предельных размеров муниципального долга предусматривают:</w:t>
      </w:r>
    </w:p>
    <w:p w14:paraId="410F387E" w14:textId="77777777" w:rsidR="00BE16AB" w:rsidRPr="00C62C74" w:rsidRDefault="00C62C74" w:rsidP="00C62C74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- </w:t>
      </w:r>
      <w:r w:rsidR="00BE16AB" w:rsidRPr="00C62C74">
        <w:rPr>
          <w:rFonts w:ascii="Times New Roman" w:hAnsi="Times New Roman" w:cs="Times New Roman"/>
          <w:b w:val="0"/>
          <w:color w:val="auto"/>
          <w:sz w:val="28"/>
          <w:szCs w:val="28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7FF71CFA" w14:textId="77777777" w:rsidR="00BE16AB" w:rsidRPr="00C62C74" w:rsidRDefault="00C62C74" w:rsidP="00C6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BE16AB" w:rsidRPr="00C62C74">
        <w:rPr>
          <w:rFonts w:ascii="Times New Roman" w:hAnsi="Times New Roman" w:cs="Times New Roman"/>
          <w:sz w:val="28"/>
          <w:szCs w:val="28"/>
        </w:rPr>
        <w:t>оценку обоснованности изменения источников внутреннего финансирования дефицита бюджета и структуры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F8F8B" w14:textId="77777777" w:rsidR="00BE16AB" w:rsidRPr="00C62C74" w:rsidRDefault="00BE16AB" w:rsidP="00C6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2908D" w14:textId="77777777" w:rsidR="007456FC" w:rsidRDefault="007456FC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8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2.7. Экспертно-аналитическое мероприятие проводится на основании плана работы Контрольно-счетной комиссии на текущий год. Экспертиза проводится на основе информации и материалов, получаемых по запросам, и (или) при необходимости непосредственно по месту расположения объектов экспертно-аналитического мероприятия в соответствии с распоряжением председателя КСК ММР о проведении данного мероприятия. </w:t>
      </w:r>
    </w:p>
    <w:p w14:paraId="00004EE3" w14:textId="77777777" w:rsidR="001D78B9" w:rsidRPr="001D78B9" w:rsidRDefault="001D78B9" w:rsidP="001D78B9"/>
    <w:p w14:paraId="26DF0FE4" w14:textId="77777777" w:rsidR="007456FC" w:rsidRDefault="007456FC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36A">
        <w:rPr>
          <w:rFonts w:ascii="Times New Roman" w:hAnsi="Times New Roman" w:cs="Times New Roman"/>
          <w:color w:val="auto"/>
          <w:sz w:val="28"/>
          <w:szCs w:val="28"/>
        </w:rPr>
        <w:t>3. Требования к оформлению результатов экспертизы</w:t>
      </w:r>
    </w:p>
    <w:p w14:paraId="567164DC" w14:textId="77777777" w:rsidR="0043136A" w:rsidRPr="0043136A" w:rsidRDefault="0043136A" w:rsidP="001D78B9">
      <w:pPr>
        <w:spacing w:after="0" w:line="240" w:lineRule="auto"/>
      </w:pPr>
    </w:p>
    <w:p w14:paraId="57373B0A" w14:textId="77777777" w:rsidR="0043136A" w:rsidRPr="0043136A" w:rsidRDefault="007456FC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Заключение </w:t>
      </w:r>
      <w:r w:rsidR="0043136A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КСК ММР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проект решения о внесении изменений в бюджет </w:t>
      </w:r>
      <w:r w:rsidR="0043136A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плановый период подготавливается на основе: </w:t>
      </w:r>
    </w:p>
    <w:p w14:paraId="7CE0D6C8" w14:textId="77777777" w:rsidR="0043136A" w:rsidRPr="0043136A" w:rsidRDefault="0043136A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анализа проекта решения о внесении изменений в бюджет 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плановый период; </w:t>
      </w:r>
    </w:p>
    <w:p w14:paraId="589CA2ED" w14:textId="77777777" w:rsidR="0043136A" w:rsidRPr="0043136A" w:rsidRDefault="0043136A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анализа материалов и документов, представленных 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дминистрацией 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проектом решения о внесении изменений в бюджет 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очередной финансовый год и плановый период в соответствии с Бюджетным кодексом РФ, Положением о бюджетном процессе; </w:t>
      </w:r>
    </w:p>
    <w:p w14:paraId="0C234A13" w14:textId="77777777" w:rsidR="0043136A" w:rsidRPr="0043136A" w:rsidRDefault="0043136A" w:rsidP="001D78B9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7456FC"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результатов контроля за исполнением бюджета в очередном году, тематических проверок. </w:t>
      </w:r>
    </w:p>
    <w:p w14:paraId="40DD6490" w14:textId="77777777" w:rsidR="0043136A" w:rsidRPr="0043136A" w:rsidRDefault="007456FC" w:rsidP="0043136A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3.2. Структура заключения </w:t>
      </w:r>
      <w:r w:rsidR="0043136A">
        <w:rPr>
          <w:rFonts w:ascii="Times New Roman" w:hAnsi="Times New Roman" w:cs="Times New Roman"/>
          <w:b w:val="0"/>
          <w:color w:val="auto"/>
          <w:sz w:val="28"/>
          <w:szCs w:val="28"/>
        </w:rPr>
        <w:t>КСК ММР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внесение изменений в бюджет </w:t>
      </w:r>
      <w:r w:rsidR="0043136A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включает в себя следующие вопросы экспертно-аналитического мероприятия:</w:t>
      </w:r>
    </w:p>
    <w:p w14:paraId="0867C1DB" w14:textId="77777777" w:rsidR="0043136A" w:rsidRPr="0043136A" w:rsidRDefault="0043136A" w:rsidP="0043136A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- Общая характеристика вносимых изменений в параметры бюджета района на очередной финансовый год и на плановый период;</w:t>
      </w:r>
    </w:p>
    <w:p w14:paraId="0F84A45C" w14:textId="77777777" w:rsidR="0043136A" w:rsidRPr="0043136A" w:rsidRDefault="0043136A" w:rsidP="0043136A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-  Изменение доходной части бюджета района;</w:t>
      </w:r>
    </w:p>
    <w:p w14:paraId="6EA220EE" w14:textId="77777777" w:rsidR="0043136A" w:rsidRPr="0043136A" w:rsidRDefault="0043136A" w:rsidP="0043136A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- Изменение расходной части бюджета района;</w:t>
      </w:r>
    </w:p>
    <w:p w14:paraId="5CD63D8D" w14:textId="77777777" w:rsidR="0043136A" w:rsidRPr="0043136A" w:rsidRDefault="0043136A" w:rsidP="0043136A">
      <w:pPr>
        <w:pStyle w:val="3"/>
        <w:keepNext w:val="0"/>
        <w:keepLines w:val="0"/>
        <w:tabs>
          <w:tab w:val="left" w:pos="85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- Изменение дефицита бюджета района, источников его финансирования, муниципального долга, программы муниципальных заимствований и программ муниципальных гарантий;</w:t>
      </w:r>
    </w:p>
    <w:p w14:paraId="22042410" w14:textId="77777777" w:rsidR="0043136A" w:rsidRPr="0043136A" w:rsidRDefault="0043136A" w:rsidP="0043136A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>- Текстовые статьи проекта решения о внесении изменений в бюджет города на очередной финансовый год и плановый период;</w:t>
      </w:r>
    </w:p>
    <w:p w14:paraId="13E84B7D" w14:textId="77777777" w:rsidR="0043136A" w:rsidRPr="0043136A" w:rsidRDefault="0043136A" w:rsidP="0043136A">
      <w:pPr>
        <w:pStyle w:val="3"/>
        <w:keepNext w:val="0"/>
        <w:keepLines w:val="0"/>
        <w:tabs>
          <w:tab w:val="left" w:pos="858"/>
        </w:tabs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Выводы и предложения.</w:t>
      </w:r>
    </w:p>
    <w:p w14:paraId="51A4AD70" w14:textId="77777777" w:rsidR="0043136A" w:rsidRPr="0043136A" w:rsidRDefault="0043136A" w:rsidP="0043136A">
      <w:pPr>
        <w:spacing w:after="0" w:line="240" w:lineRule="auto"/>
      </w:pPr>
    </w:p>
    <w:p w14:paraId="359E6FEA" w14:textId="77777777" w:rsidR="00064872" w:rsidRDefault="007456FC" w:rsidP="007456FC">
      <w:pPr>
        <w:pStyle w:val="3"/>
        <w:tabs>
          <w:tab w:val="left" w:pos="858"/>
        </w:tabs>
        <w:spacing w:before="0" w:after="240"/>
        <w:ind w:firstLine="567"/>
        <w:jc w:val="both"/>
      </w:pPr>
      <w:r>
        <w:lastRenderedPageBreak/>
        <w:t xml:space="preserve"> </w:t>
      </w:r>
    </w:p>
    <w:p w14:paraId="1A382FC3" w14:textId="77777777" w:rsidR="00064872" w:rsidRPr="00064872" w:rsidRDefault="007456FC" w:rsidP="0006487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 xml:space="preserve"> </w:t>
      </w:r>
      <w:r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3.3. В заключении </w:t>
      </w:r>
      <w:r w:rsidR="00064872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>КСК ММР</w:t>
      </w:r>
      <w:r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должны быть отражены следующие основные аспекты: </w:t>
      </w:r>
    </w:p>
    <w:p w14:paraId="788D17D0" w14:textId="77777777" w:rsidR="00064872" w:rsidRPr="00064872" w:rsidRDefault="00064872" w:rsidP="0006487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7456FC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оценка обоснованности изменений показателей (параметров и характеристик) бюджета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7456FC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</w:p>
    <w:p w14:paraId="57D78DCF" w14:textId="77777777" w:rsidR="00064872" w:rsidRPr="00064872" w:rsidRDefault="00064872" w:rsidP="0006487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7456FC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оценка соответствия изменений бюджета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7456FC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Бюджетному кодексу и Положению о бюджетном процессе; </w:t>
      </w:r>
    </w:p>
    <w:p w14:paraId="036812CC" w14:textId="77777777" w:rsidR="00064872" w:rsidRDefault="00064872" w:rsidP="00064872">
      <w:pPr>
        <w:pStyle w:val="3"/>
        <w:tabs>
          <w:tab w:val="left" w:pos="858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7456FC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оценка обоснованности действующих и принимаемых расходных обязательств в части вносимых изменений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456FC" w:rsidRPr="000648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AA5D25B" w14:textId="77777777" w:rsidR="00064872" w:rsidRDefault="00064872" w:rsidP="00064872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3DA61" w14:textId="77777777" w:rsidR="00064872" w:rsidRPr="00EE7023" w:rsidRDefault="00064872" w:rsidP="00064872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23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E7023">
        <w:rPr>
          <w:rFonts w:ascii="Times New Roman" w:eastAsia="Calibri" w:hAnsi="Times New Roman" w:cs="Times New Roman"/>
          <w:sz w:val="28"/>
          <w:szCs w:val="28"/>
        </w:rPr>
        <w:t>. Копия заключения о результатах проведенной  экспертиз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 направляется с сопроводительным письмом главе </w:t>
      </w:r>
      <w:r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Pr="00EE7023">
        <w:rPr>
          <w:rFonts w:ascii="Times New Roman" w:eastAsia="Calibri" w:hAnsi="Times New Roman" w:cs="Times New Roman"/>
          <w:sz w:val="28"/>
          <w:szCs w:val="28"/>
        </w:rPr>
        <w:t xml:space="preserve">, председателю Думы </w:t>
      </w:r>
      <w:r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района. Также и</w:t>
      </w:r>
      <w:r w:rsidRPr="00EE7023">
        <w:rPr>
          <w:rFonts w:ascii="Times New Roman" w:hAnsi="Times New Roman" w:cs="Times New Roman"/>
          <w:sz w:val="28"/>
          <w:szCs w:val="28"/>
        </w:rPr>
        <w:t>нформация о результатах экспертиз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023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EE7023">
        <w:rPr>
          <w:rFonts w:ascii="Times New Roman" w:hAnsi="Times New Roman" w:cs="Times New Roman"/>
          <w:sz w:val="28"/>
          <w:szCs w:val="28"/>
        </w:rPr>
        <w:t xml:space="preserve"> и опубликовывается в средствах массовой информации в соответствии с требованиями муниципальных правовых актов. </w:t>
      </w:r>
    </w:p>
    <w:p w14:paraId="1B5D959B" w14:textId="77777777" w:rsidR="00064872" w:rsidRPr="00EE7023" w:rsidRDefault="00064872" w:rsidP="00064872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11108" w14:textId="77777777" w:rsidR="00064872" w:rsidRPr="00064872" w:rsidRDefault="00064872" w:rsidP="00064872"/>
    <w:p w14:paraId="0B3742D1" w14:textId="77777777" w:rsidR="00A132EF" w:rsidRPr="00EE7023" w:rsidRDefault="00064872" w:rsidP="0006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</w:p>
    <w:p w14:paraId="620AF669" w14:textId="77777777" w:rsidR="00A132EF" w:rsidRPr="00EE7023" w:rsidRDefault="00A132EF" w:rsidP="00EE7023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BF39C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4EDD7CDD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220C1848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450C4E82" w14:textId="77777777" w:rsidR="00A132EF" w:rsidRDefault="00A132EF" w:rsidP="00A132EF">
      <w:pPr>
        <w:spacing w:before="240" w:after="240"/>
        <w:jc w:val="center"/>
        <w:rPr>
          <w:b/>
          <w:sz w:val="28"/>
          <w:szCs w:val="28"/>
        </w:rPr>
      </w:pPr>
    </w:p>
    <w:p w14:paraId="042CAE97" w14:textId="77777777" w:rsidR="00A132EF" w:rsidRPr="004961FE" w:rsidRDefault="00A132EF" w:rsidP="00A132EF">
      <w:pPr>
        <w:jc w:val="center"/>
        <w:rPr>
          <w:b/>
          <w:sz w:val="26"/>
          <w:szCs w:val="26"/>
        </w:rPr>
      </w:pPr>
    </w:p>
    <w:p w14:paraId="413296C5" w14:textId="77777777" w:rsidR="00A132EF" w:rsidRPr="00162AA0" w:rsidRDefault="00A132EF" w:rsidP="00A132EF">
      <w:pPr>
        <w:jc w:val="both"/>
        <w:rPr>
          <w:sz w:val="28"/>
          <w:szCs w:val="28"/>
        </w:rPr>
      </w:pPr>
    </w:p>
    <w:p w14:paraId="4CCEDB15" w14:textId="77777777" w:rsidR="00A132EF" w:rsidRPr="000B4F07" w:rsidRDefault="00A132EF" w:rsidP="00A132EF">
      <w:pPr>
        <w:rPr>
          <w:sz w:val="26"/>
          <w:szCs w:val="26"/>
        </w:rPr>
      </w:pPr>
    </w:p>
    <w:p w14:paraId="36B79477" w14:textId="77777777" w:rsidR="00F34BBA" w:rsidRPr="00A82529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F34BBA" w:rsidRPr="00A82529" w:rsidSect="00354A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5A8"/>
    <w:multiLevelType w:val="multilevel"/>
    <w:tmpl w:val="676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B03D6"/>
    <w:multiLevelType w:val="multilevel"/>
    <w:tmpl w:val="5CF4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643BF1"/>
    <w:multiLevelType w:val="multilevel"/>
    <w:tmpl w:val="9866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27848"/>
    <w:multiLevelType w:val="multilevel"/>
    <w:tmpl w:val="5FB88EF2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4820" w:firstLine="0"/>
      </w:pPr>
    </w:lvl>
    <w:lvl w:ilvl="3">
      <w:numFmt w:val="decimal"/>
      <w:lvlText w:val=""/>
      <w:lvlJc w:val="left"/>
      <w:pPr>
        <w:ind w:left="4820" w:firstLine="0"/>
      </w:pPr>
    </w:lvl>
    <w:lvl w:ilvl="4">
      <w:numFmt w:val="decimal"/>
      <w:lvlText w:val=""/>
      <w:lvlJc w:val="left"/>
      <w:pPr>
        <w:ind w:left="4820" w:firstLine="0"/>
      </w:pPr>
    </w:lvl>
    <w:lvl w:ilvl="5">
      <w:numFmt w:val="decimal"/>
      <w:lvlText w:val=""/>
      <w:lvlJc w:val="left"/>
      <w:pPr>
        <w:ind w:left="4820" w:firstLine="0"/>
      </w:pPr>
    </w:lvl>
    <w:lvl w:ilvl="6">
      <w:numFmt w:val="decimal"/>
      <w:lvlText w:val=""/>
      <w:lvlJc w:val="left"/>
      <w:pPr>
        <w:ind w:left="4820" w:firstLine="0"/>
      </w:pPr>
    </w:lvl>
    <w:lvl w:ilvl="7">
      <w:numFmt w:val="decimal"/>
      <w:lvlText w:val=""/>
      <w:lvlJc w:val="left"/>
      <w:pPr>
        <w:ind w:left="4820" w:firstLine="0"/>
      </w:pPr>
    </w:lvl>
    <w:lvl w:ilvl="8">
      <w:numFmt w:val="decimal"/>
      <w:lvlText w:val=""/>
      <w:lvlJc w:val="left"/>
      <w:pPr>
        <w:ind w:left="4820" w:firstLine="0"/>
      </w:pPr>
    </w:lvl>
  </w:abstractNum>
  <w:abstractNum w:abstractNumId="4" w15:restartNumberingAfterBreak="0">
    <w:nsid w:val="267C1063"/>
    <w:multiLevelType w:val="multilevel"/>
    <w:tmpl w:val="B18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8358F"/>
    <w:multiLevelType w:val="multilevel"/>
    <w:tmpl w:val="FDD8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1F4A45"/>
    <w:multiLevelType w:val="multilevel"/>
    <w:tmpl w:val="DC3E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9A270B"/>
    <w:multiLevelType w:val="multilevel"/>
    <w:tmpl w:val="C486E7F0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D37273"/>
    <w:multiLevelType w:val="multilevel"/>
    <w:tmpl w:val="E19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EE7988"/>
    <w:multiLevelType w:val="multilevel"/>
    <w:tmpl w:val="5DB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147A06"/>
    <w:multiLevelType w:val="multilevel"/>
    <w:tmpl w:val="26A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9033BB"/>
    <w:multiLevelType w:val="multilevel"/>
    <w:tmpl w:val="863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AB"/>
    <w:rsid w:val="00064872"/>
    <w:rsid w:val="00072B31"/>
    <w:rsid w:val="000A3478"/>
    <w:rsid w:val="000C028A"/>
    <w:rsid w:val="000D29FB"/>
    <w:rsid w:val="00144B10"/>
    <w:rsid w:val="00146AA8"/>
    <w:rsid w:val="00163E01"/>
    <w:rsid w:val="001833E4"/>
    <w:rsid w:val="001D78B9"/>
    <w:rsid w:val="00216B8A"/>
    <w:rsid w:val="00244A99"/>
    <w:rsid w:val="002C2223"/>
    <w:rsid w:val="002C464F"/>
    <w:rsid w:val="00312ADD"/>
    <w:rsid w:val="00326A2A"/>
    <w:rsid w:val="00341E4E"/>
    <w:rsid w:val="00354A49"/>
    <w:rsid w:val="00390ED4"/>
    <w:rsid w:val="003F6870"/>
    <w:rsid w:val="00403761"/>
    <w:rsid w:val="0043136A"/>
    <w:rsid w:val="0044086F"/>
    <w:rsid w:val="00443830"/>
    <w:rsid w:val="004515D0"/>
    <w:rsid w:val="004845BC"/>
    <w:rsid w:val="004D1530"/>
    <w:rsid w:val="00527469"/>
    <w:rsid w:val="00570E74"/>
    <w:rsid w:val="005A600E"/>
    <w:rsid w:val="005C6B35"/>
    <w:rsid w:val="005E53CF"/>
    <w:rsid w:val="0060759C"/>
    <w:rsid w:val="006264C5"/>
    <w:rsid w:val="00641C1F"/>
    <w:rsid w:val="006A255C"/>
    <w:rsid w:val="006B081D"/>
    <w:rsid w:val="007456FC"/>
    <w:rsid w:val="00770FAD"/>
    <w:rsid w:val="00796C5E"/>
    <w:rsid w:val="007D14DE"/>
    <w:rsid w:val="00805335"/>
    <w:rsid w:val="00822F3D"/>
    <w:rsid w:val="0085325E"/>
    <w:rsid w:val="00916BEF"/>
    <w:rsid w:val="009208F1"/>
    <w:rsid w:val="0093459D"/>
    <w:rsid w:val="009E0747"/>
    <w:rsid w:val="009E4A44"/>
    <w:rsid w:val="00A02014"/>
    <w:rsid w:val="00A132EF"/>
    <w:rsid w:val="00A47832"/>
    <w:rsid w:val="00A82529"/>
    <w:rsid w:val="00A907DC"/>
    <w:rsid w:val="00AD73E7"/>
    <w:rsid w:val="00B47B44"/>
    <w:rsid w:val="00B701AB"/>
    <w:rsid w:val="00BA0AC3"/>
    <w:rsid w:val="00BA7645"/>
    <w:rsid w:val="00BE16AB"/>
    <w:rsid w:val="00BF0D66"/>
    <w:rsid w:val="00C43720"/>
    <w:rsid w:val="00C46D66"/>
    <w:rsid w:val="00C62C74"/>
    <w:rsid w:val="00C95FCE"/>
    <w:rsid w:val="00CF3544"/>
    <w:rsid w:val="00D35C03"/>
    <w:rsid w:val="00D83B69"/>
    <w:rsid w:val="00E67C3B"/>
    <w:rsid w:val="00EB53AD"/>
    <w:rsid w:val="00EE4626"/>
    <w:rsid w:val="00EE7023"/>
    <w:rsid w:val="00F14A4E"/>
    <w:rsid w:val="00F34BBA"/>
    <w:rsid w:val="00F413A3"/>
    <w:rsid w:val="00F53C3A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3431"/>
  <w15:docId w15:val="{C8F14769-CD23-4739-A331-E7C5C36D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41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Оглавление 1 Знак"/>
    <w:basedOn w:val="a0"/>
    <w:link w:val="1"/>
    <w:rsid w:val="00326A2A"/>
    <w:rPr>
      <w:rFonts w:ascii="Times New Roman" w:hAnsi="Times New Roman" w:cs="Times New Roman"/>
      <w:sz w:val="28"/>
      <w:szCs w:val="28"/>
    </w:rPr>
  </w:style>
  <w:style w:type="paragraph" w:styleId="1">
    <w:name w:val="toc 1"/>
    <w:basedOn w:val="a"/>
    <w:link w:val="12"/>
    <w:autoRedefine/>
    <w:rsid w:val="00326A2A"/>
    <w:pPr>
      <w:widowControl w:val="0"/>
      <w:numPr>
        <w:numId w:val="1"/>
      </w:numPr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641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C030-80A8-423B-B222-79491C7F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BUHSLG</cp:lastModifiedBy>
  <cp:revision>75</cp:revision>
  <dcterms:created xsi:type="dcterms:W3CDTF">2022-02-11T00:20:00Z</dcterms:created>
  <dcterms:modified xsi:type="dcterms:W3CDTF">2022-02-17T06:17:00Z</dcterms:modified>
</cp:coreProperties>
</file>