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67EE190F" w14:textId="77777777" w:rsidR="00745CC0" w:rsidRDefault="00745CC0" w:rsidP="00745C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Заключение  </w:t>
      </w:r>
    </w:p>
    <w:p w14:paraId="34444BBC" w14:textId="77777777" w:rsidR="00745CC0" w:rsidRDefault="00745CC0" w:rsidP="00745C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228DDA18" w14:textId="40BDC04E" w:rsidR="00314070" w:rsidRPr="00314070" w:rsidRDefault="00B3314E" w:rsidP="00314070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97431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</w:t>
      </w:r>
      <w:r w:rsid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70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4070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14070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314070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="00314070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 </w:t>
      </w:r>
    </w:p>
    <w:p w14:paraId="7BA48CD7" w14:textId="2CD92121" w:rsidR="003B2FB4" w:rsidRDefault="003B2FB4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5B9EF2CF" w:rsidR="003B2FB4" w:rsidRDefault="00B47ADA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25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7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62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D85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F0C22C6" w14:textId="26ADC3BD" w:rsidR="00ED0A14" w:rsidRDefault="00ED0A14" w:rsidP="00ED0A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Правовая основа финансово-экономической экспертизы включает в себя: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Бюджетный кодекс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 решением Думы Михайловского муниципального района от 31.03.2022  № 193, Положение «О Контрольно-счётной комиссии Михайловского муниципального района», утвержденное решением Думы ММР от 28.10.2021 № 135, Стандарт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</w:t>
      </w:r>
    </w:p>
    <w:p w14:paraId="2ED355A9" w14:textId="5194F081" w:rsidR="00C36EB1" w:rsidRPr="002D3789" w:rsidRDefault="00C36EB1" w:rsidP="00C9628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87F34" w14:textId="10B7097D" w:rsidR="00745CC0" w:rsidRPr="002D3789" w:rsidRDefault="00A643D9" w:rsidP="00745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56A83040" w14:textId="56AA927B" w:rsidR="00A439F4" w:rsidRDefault="00C36EB1" w:rsidP="00A439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>пункт 1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A12BE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7A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4565A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0A12BE">
        <w:rPr>
          <w:rFonts w:ascii="Times New Roman" w:hAnsi="Times New Roman"/>
          <w:sz w:val="28"/>
          <w:szCs w:val="28"/>
        </w:rPr>
        <w:t xml:space="preserve">письмо </w:t>
      </w:r>
      <w:r w:rsidR="000A12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0A12BE">
        <w:rPr>
          <w:rFonts w:ascii="Times New Roman" w:hAnsi="Times New Roman"/>
          <w:sz w:val="26"/>
          <w:szCs w:val="26"/>
        </w:rPr>
        <w:t xml:space="preserve"> </w:t>
      </w:r>
      <w:r w:rsidR="000A12BE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02.11</w:t>
      </w:r>
      <w:r w:rsidR="000A12BE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4565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="00A439F4"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 КСК ММР от 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02.11</w:t>
      </w:r>
      <w:r w:rsidR="00A439F4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9F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50895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A439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733AF7CF" w14:textId="77777777" w:rsidR="00ED0A14" w:rsidRDefault="00ED0A14" w:rsidP="00A439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41AB59" w14:textId="77777777" w:rsidR="00ED0A14" w:rsidRDefault="00ED0A14" w:rsidP="00A439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74594" w14:textId="77777777" w:rsidR="00ED0A14" w:rsidRDefault="00ED0A14" w:rsidP="00A439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50C0B1D8" w:rsidR="00240DBF" w:rsidRDefault="00A439F4" w:rsidP="00A439F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1AB1411" w14:textId="77777777" w:rsidR="00745CC0" w:rsidRPr="002D3789" w:rsidRDefault="00BB181A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474F3C41" w14:textId="42BF9752" w:rsidR="00690870" w:rsidRDefault="00690870" w:rsidP="00ED0A14">
      <w:pPr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439F4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439F4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 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86F77" w14:textId="77777777" w:rsidR="00690870" w:rsidRDefault="00690870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1EEE1" w14:textId="77777777" w:rsidR="00745CC0" w:rsidRPr="002D3789" w:rsidRDefault="00690870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3A070522" w14:textId="34A2FE2B" w:rsidR="00A439F4" w:rsidRPr="00314070" w:rsidRDefault="00690870" w:rsidP="00A439F4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F38CB">
        <w:rPr>
          <w:rFonts w:ascii="Times New Roman" w:hAnsi="Times New Roman" w:cs="Times New Roman"/>
          <w:sz w:val="28"/>
          <w:szCs w:val="28"/>
        </w:rPr>
        <w:t xml:space="preserve">  финансово-экономический анализ</w:t>
      </w:r>
      <w:r w:rsidR="00AF38CB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AF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AF38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38C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F38CB"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9F4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439F4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 </w:t>
      </w:r>
    </w:p>
    <w:p w14:paraId="3978BA03" w14:textId="77777777" w:rsidR="002F2EED" w:rsidRPr="002F2EED" w:rsidRDefault="002F2EED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5C8A1" w14:textId="14B4A898" w:rsidR="00745CC0" w:rsidRPr="002D3789" w:rsidRDefault="00546987" w:rsidP="00610A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64CC64BC" w14:textId="7649F57F" w:rsidR="002F2EED" w:rsidRPr="002F2EED" w:rsidRDefault="002F2EED" w:rsidP="00A439F4">
      <w:pPr>
        <w:suppressAutoHyphens/>
        <w:spacing w:after="0" w:line="240" w:lineRule="auto"/>
        <w:jc w:val="both"/>
        <w:outlineLvl w:val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39F4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прядке </w:t>
      </w:r>
      <w:r w:rsidR="00A439F4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610A6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610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EDE8DC4" w:rsidR="00F62569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62569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42BBE480" w14:textId="77777777" w:rsidR="00610A62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14861" w14:textId="77777777" w:rsidR="00610A62" w:rsidRDefault="00610A62" w:rsidP="00610A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61279FE" w14:textId="6473155D" w:rsidR="00610A62" w:rsidRDefault="000F2FA1" w:rsidP="00610A6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47AD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610A62">
        <w:rPr>
          <w:rFonts w:ascii="Times New Roman" w:eastAsia="Times New Roman" w:hAnsi="Times New Roman"/>
          <w:sz w:val="28"/>
          <w:szCs w:val="28"/>
          <w:lang w:eastAsia="ru-RU"/>
        </w:rPr>
        <w:t xml:space="preserve">.2023 года по </w:t>
      </w:r>
      <w:r w:rsidR="00B47ADA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10A62">
        <w:rPr>
          <w:rFonts w:ascii="Times New Roman" w:eastAsia="Times New Roman" w:hAnsi="Times New Roman"/>
          <w:sz w:val="28"/>
          <w:szCs w:val="28"/>
          <w:lang w:eastAsia="ru-RU"/>
        </w:rPr>
        <w:t>.2023 года.</w:t>
      </w:r>
    </w:p>
    <w:p w14:paraId="0AF15B91" w14:textId="77777777" w:rsidR="00610A62" w:rsidRDefault="00610A62" w:rsidP="00610A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DED47" w14:textId="77777777" w:rsidR="004E3EA9" w:rsidRDefault="004E3EA9" w:rsidP="00061F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1F94925D" w14:textId="77777777" w:rsidR="004E3EA9" w:rsidRDefault="004E3EA9" w:rsidP="00061F7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21BFBDE6" w14:textId="77777777" w:rsidR="004E3EA9" w:rsidRPr="004E3EA9" w:rsidRDefault="004E3EA9" w:rsidP="00061F71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7E4212CD" w14:textId="77777777" w:rsidR="00061F71" w:rsidRDefault="00061F71" w:rsidP="00061F7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1F7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71">
        <w:rPr>
          <w:rFonts w:ascii="Times New Roman" w:hAnsi="Times New Roman" w:cs="Times New Roman"/>
          <w:sz w:val="28"/>
          <w:szCs w:val="28"/>
        </w:rPr>
        <w:t xml:space="preserve">от 2 марта 2007 года </w:t>
      </w:r>
      <w:hyperlink r:id="rId7" w:history="1">
        <w:r w:rsidRPr="00061F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25-ФЗ</w:t>
        </w:r>
      </w:hyperlink>
      <w:r w:rsidRPr="00061F7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4DE55" w14:textId="77777777" w:rsidR="00061F71" w:rsidRPr="00061F71" w:rsidRDefault="00061F71" w:rsidP="00061F7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1F71">
        <w:rPr>
          <w:rFonts w:ascii="Times New Roman" w:hAnsi="Times New Roman" w:cs="Times New Roman"/>
          <w:sz w:val="28"/>
          <w:szCs w:val="28"/>
        </w:rPr>
        <w:t xml:space="preserve">4) Федеральный закон от 15 декабря 2001 года </w:t>
      </w:r>
      <w:hyperlink r:id="rId8" w:history="1">
        <w:r w:rsidRPr="00061F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166-ФЗ</w:t>
        </w:r>
      </w:hyperlink>
      <w:r w:rsidRPr="00061F71">
        <w:rPr>
          <w:rFonts w:ascii="Times New Roman" w:hAnsi="Times New Roman" w:cs="Times New Roman"/>
          <w:sz w:val="28"/>
          <w:szCs w:val="28"/>
        </w:rPr>
        <w:t xml:space="preserve"> "О государственном пенсионном обеспечении в Российской Федерации";</w:t>
      </w:r>
    </w:p>
    <w:p w14:paraId="660FC98C" w14:textId="46A409FC" w:rsidR="00061F71" w:rsidRDefault="00061F71" w:rsidP="00061F7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2F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71">
        <w:rPr>
          <w:rFonts w:ascii="Times New Roman" w:hAnsi="Times New Roman" w:cs="Times New Roman"/>
          <w:sz w:val="28"/>
          <w:szCs w:val="28"/>
        </w:rPr>
        <w:t xml:space="preserve">от 28 декабря 2013 года </w:t>
      </w:r>
      <w:hyperlink r:id="rId9" w:history="1">
        <w:r w:rsidRPr="00061F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400-ФЗ</w:t>
        </w:r>
      </w:hyperlink>
      <w:r w:rsidRPr="00061F71">
        <w:rPr>
          <w:rFonts w:ascii="Times New Roman" w:hAnsi="Times New Roman" w:cs="Times New Roman"/>
          <w:sz w:val="28"/>
          <w:szCs w:val="28"/>
        </w:rPr>
        <w:t xml:space="preserve"> "О страховых пенсиях"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E6E297" w14:textId="49E96FFC" w:rsidR="00061F71" w:rsidRDefault="00061F71" w:rsidP="00061F7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F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Pr="00061F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61F71">
        <w:rPr>
          <w:rFonts w:ascii="Times New Roman" w:hAnsi="Times New Roman" w:cs="Times New Roman"/>
          <w:sz w:val="28"/>
          <w:szCs w:val="28"/>
        </w:rPr>
        <w:t xml:space="preserve"> Приморского края от 4 июня 2007 года N 82-КЗ "О муниципальной службе в Приморском крае"</w:t>
      </w:r>
      <w:r w:rsidR="00342FDF">
        <w:rPr>
          <w:rFonts w:ascii="Times New Roman" w:hAnsi="Times New Roman" w:cs="Times New Roman"/>
          <w:sz w:val="28"/>
          <w:szCs w:val="28"/>
        </w:rPr>
        <w:t>;</w:t>
      </w:r>
    </w:p>
    <w:p w14:paraId="2C8DD968" w14:textId="24870DC3" w:rsidR="00342FDF" w:rsidRPr="00061F71" w:rsidRDefault="00342FDF" w:rsidP="00061F71">
      <w:pPr>
        <w:tabs>
          <w:tab w:val="left" w:pos="5167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Закон приморского края от 07.06.2012г. № 51-КЗ «О государственной гражданской службе Приморского края»;</w:t>
      </w:r>
    </w:p>
    <w:p w14:paraId="484639C0" w14:textId="7C8FBAAE" w:rsidR="002C7D9C" w:rsidRDefault="00061F71" w:rsidP="00061F7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7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17.10.2009 № 818 «Об утверждении Правил определения среднемесячного заработка, из которого исчисляется размер пенсии за выслугу лет федеральных государственных гражданских служащих»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97031" w14:textId="77777777" w:rsidR="00B47ADA" w:rsidRPr="00061F71" w:rsidRDefault="00B47ADA" w:rsidP="00061F71">
      <w:pPr>
        <w:tabs>
          <w:tab w:val="left" w:pos="5167"/>
        </w:tabs>
        <w:spacing w:after="0" w:line="240" w:lineRule="auto"/>
        <w:jc w:val="both"/>
        <w:rPr>
          <w:b/>
          <w:sz w:val="28"/>
          <w:szCs w:val="28"/>
        </w:rPr>
      </w:pPr>
    </w:p>
    <w:p w14:paraId="53A010FC" w14:textId="0FE26506" w:rsidR="00610A62" w:rsidRPr="002F2EED" w:rsidRDefault="00610A62" w:rsidP="002C7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2C7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1EC91C68" w14:textId="5F2B4826" w:rsidR="00A439F4" w:rsidRPr="00314070" w:rsidRDefault="00CB579C" w:rsidP="00A439F4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7D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A439F4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439F4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A439F4" w:rsidRPr="00314070">
        <w:rPr>
          <w:rFonts w:ascii="Times New Roman" w:hAnsi="Times New Roman" w:cs="Times New Roman"/>
          <w:sz w:val="28"/>
          <w:szCs w:val="28"/>
        </w:rPr>
        <w:t xml:space="preserve"> обеспечении муниципальных служащих Михайловского муниципального района» </w:t>
      </w:r>
    </w:p>
    <w:p w14:paraId="6DA147D1" w14:textId="10837917" w:rsidR="00252003" w:rsidRDefault="009E225D" w:rsidP="00A439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7D9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520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DCE816" w14:textId="5F4D1B2E" w:rsidR="00F62569" w:rsidRDefault="00F62569" w:rsidP="002C7D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D9BCF6" w14:textId="74B3B83D" w:rsidR="00252003" w:rsidRDefault="00252003" w:rsidP="001C65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FA0E7A2" w14:textId="3238EB45" w:rsidR="00D53040" w:rsidRDefault="009849B9" w:rsidP="00D53040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B579C" w:rsidRPr="002A122C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D53040">
        <w:rPr>
          <w:rFonts w:ascii="Times New Roman" w:hAnsi="Times New Roman"/>
          <w:sz w:val="28"/>
          <w:szCs w:val="28"/>
        </w:rPr>
        <w:t xml:space="preserve">утвердить </w:t>
      </w:r>
      <w:r w:rsidR="00252003" w:rsidRPr="002A122C">
        <w:rPr>
          <w:rFonts w:ascii="Times New Roman" w:hAnsi="Times New Roman"/>
          <w:bCs/>
          <w:sz w:val="28"/>
          <w:szCs w:val="28"/>
        </w:rPr>
        <w:t xml:space="preserve"> </w:t>
      </w:r>
      <w:r w:rsidR="00D53040" w:rsidRPr="00314070">
        <w:rPr>
          <w:rFonts w:ascii="Times New Roman" w:hAnsi="Times New Roman" w:cs="Times New Roman"/>
          <w:sz w:val="28"/>
          <w:szCs w:val="28"/>
        </w:rPr>
        <w:t>Положени</w:t>
      </w:r>
      <w:r w:rsidR="00D53040">
        <w:rPr>
          <w:rFonts w:ascii="Times New Roman" w:hAnsi="Times New Roman" w:cs="Times New Roman"/>
          <w:sz w:val="28"/>
          <w:szCs w:val="28"/>
        </w:rPr>
        <w:t>е</w:t>
      </w:r>
      <w:r w:rsidR="00D53040" w:rsidRPr="00314070">
        <w:rPr>
          <w:rFonts w:ascii="Times New Roman" w:hAnsi="Times New Roman" w:cs="Times New Roman"/>
          <w:sz w:val="28"/>
          <w:szCs w:val="28"/>
        </w:rPr>
        <w:t xml:space="preserve">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D53040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="00D53040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="00D53040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 </w:t>
      </w:r>
      <w:r w:rsidR="00CA6FB0">
        <w:rPr>
          <w:rFonts w:ascii="Times New Roman" w:hAnsi="Times New Roman" w:cs="Times New Roman"/>
          <w:sz w:val="28"/>
          <w:szCs w:val="28"/>
        </w:rPr>
        <w:t>и отмен</w:t>
      </w:r>
      <w:r w:rsidR="000A13EA">
        <w:rPr>
          <w:rFonts w:ascii="Times New Roman" w:hAnsi="Times New Roman" w:cs="Times New Roman"/>
          <w:sz w:val="28"/>
          <w:szCs w:val="28"/>
        </w:rPr>
        <w:t xml:space="preserve">ить ранее действующее Решение Думы Михайловского муниципального района от 26.06.2008г. № 463 «Об утверждении Положения о порядке </w:t>
      </w:r>
      <w:r w:rsidR="004A10DC">
        <w:rPr>
          <w:rFonts w:ascii="Times New Roman" w:hAnsi="Times New Roman" w:cs="Times New Roman"/>
          <w:sz w:val="28"/>
          <w:szCs w:val="28"/>
        </w:rPr>
        <w:t>пенсионного обеспечения лиц, замещавших выборные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муниципальных служащих».</w:t>
      </w:r>
    </w:p>
    <w:p w14:paraId="75260E2D" w14:textId="2DBB470A" w:rsidR="00E84D18" w:rsidRPr="00E84D18" w:rsidRDefault="00E84D18" w:rsidP="00E84D18">
      <w:pPr>
        <w:pStyle w:val="a8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</w:t>
      </w:r>
      <w:r w:rsidRPr="00E84D18">
        <w:rPr>
          <w:bCs/>
          <w:color w:val="000000"/>
          <w:kern w:val="36"/>
          <w:sz w:val="28"/>
          <w:szCs w:val="28"/>
        </w:rPr>
        <w:t>Стать</w:t>
      </w:r>
      <w:r>
        <w:rPr>
          <w:bCs/>
          <w:color w:val="000000"/>
          <w:kern w:val="36"/>
          <w:sz w:val="28"/>
          <w:szCs w:val="28"/>
        </w:rPr>
        <w:t xml:space="preserve">я 42  Федерального закона 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 определяет, что </w:t>
      </w:r>
      <w:r w:rsidRPr="00E84D18">
        <w:rPr>
          <w:sz w:val="28"/>
          <w:szCs w:val="28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</w:t>
      </w:r>
      <w:r w:rsidRPr="000F2FA1">
        <w:rPr>
          <w:sz w:val="28"/>
          <w:szCs w:val="28"/>
        </w:rPr>
        <w:t>федеральным </w:t>
      </w:r>
      <w:r w:rsidR="006D7B1B" w:rsidRPr="000F2FA1">
        <w:rPr>
          <w:sz w:val="28"/>
          <w:szCs w:val="28"/>
        </w:rPr>
        <w:t xml:space="preserve"> </w:t>
      </w:r>
      <w:hyperlink r:id="rId11" w:history="1">
        <w:r w:rsidRPr="000F2FA1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6D7B1B">
        <w:rPr>
          <w:sz w:val="28"/>
          <w:szCs w:val="28"/>
        </w:rPr>
        <w:t>,</w:t>
      </w:r>
      <w:r w:rsidRPr="00E84D18">
        <w:rPr>
          <w:sz w:val="28"/>
          <w:szCs w:val="28"/>
        </w:rPr>
        <w:t xml:space="preserve"> а также принимаемыми в соответствии с ним законами субъектов Российской Федерации, уставами</w:t>
      </w:r>
      <w:r>
        <w:t xml:space="preserve"> </w:t>
      </w:r>
      <w:r w:rsidRPr="00E84D18">
        <w:rPr>
          <w:sz w:val="28"/>
          <w:szCs w:val="28"/>
        </w:rPr>
        <w:t>муниципальных образований и иными муниципальными правовыми актами.</w:t>
      </w:r>
    </w:p>
    <w:p w14:paraId="2246832F" w14:textId="4664F039" w:rsidR="00817145" w:rsidRDefault="00813DF2" w:rsidP="006D7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75151" w:rsidRPr="00105C9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575151" w:rsidRPr="00105C9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установлено, что муниципальный служащий имеет право на пенсионное обеспечение в соответствии с законодательством Российской Федерации. </w:t>
      </w:r>
      <w:r w:rsidR="00105C9D">
        <w:rPr>
          <w:rFonts w:ascii="Times New Roman" w:hAnsi="Times New Roman" w:cs="Times New Roman"/>
          <w:sz w:val="28"/>
          <w:szCs w:val="28"/>
        </w:rPr>
        <w:t xml:space="preserve"> </w:t>
      </w:r>
      <w:r w:rsidR="007C2017" w:rsidRPr="00105C9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75151" w:rsidRPr="00105C9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575151" w:rsidRPr="00105C9D">
          <w:rPr>
            <w:rFonts w:ascii="Times New Roman" w:hAnsi="Times New Roman" w:cs="Times New Roman"/>
            <w:sz w:val="28"/>
            <w:szCs w:val="28"/>
          </w:rPr>
          <w:t>статье 23</w:t>
        </w:r>
      </w:hyperlink>
      <w:r w:rsidR="00575151" w:rsidRPr="00105C9D">
        <w:rPr>
          <w:rFonts w:ascii="Times New Roman" w:hAnsi="Times New Roman" w:cs="Times New Roman"/>
          <w:sz w:val="28"/>
          <w:szCs w:val="28"/>
        </w:rPr>
        <w:t xml:space="preserve"> Федерального закона N 25-ФЗ муниципальному служащему гарантировано пенсионное обеспечение за выслугу лет, а в </w:t>
      </w:r>
      <w:hyperlink r:id="rId14" w:history="1">
        <w:r w:rsidR="00575151" w:rsidRPr="00105C9D">
          <w:rPr>
            <w:rFonts w:ascii="Times New Roman" w:hAnsi="Times New Roman" w:cs="Times New Roman"/>
            <w:sz w:val="28"/>
            <w:szCs w:val="28"/>
          </w:rPr>
          <w:t>статье 24</w:t>
        </w:r>
      </w:hyperlink>
      <w:r w:rsidR="00575151" w:rsidRPr="00105C9D">
        <w:rPr>
          <w:rFonts w:ascii="Times New Roman" w:hAnsi="Times New Roman" w:cs="Times New Roman"/>
          <w:sz w:val="28"/>
          <w:szCs w:val="28"/>
        </w:rPr>
        <w:t xml:space="preserve"> предусмотрено, что на муниципального служащего в области пенсионного обеспечения в полном объеме распространяются права государственного гражданского служащего, установленные федеральными законами и законами субъектов Российской Федерации</w:t>
      </w:r>
      <w:r w:rsidR="00105C9D" w:rsidRPr="00105C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17145" w:rsidRPr="00105C9D">
        <w:rPr>
          <w:rFonts w:ascii="Times New Roman" w:hAnsi="Times New Roman" w:cs="Times New Roman"/>
          <w:sz w:val="28"/>
          <w:szCs w:val="28"/>
        </w:rPr>
        <w:t xml:space="preserve">      Федеральны</w:t>
      </w:r>
      <w:r w:rsidR="00105C9D" w:rsidRPr="00105C9D">
        <w:rPr>
          <w:rFonts w:ascii="Times New Roman" w:hAnsi="Times New Roman" w:cs="Times New Roman"/>
          <w:sz w:val="28"/>
          <w:szCs w:val="28"/>
        </w:rPr>
        <w:t xml:space="preserve">м </w:t>
      </w:r>
      <w:r w:rsidR="00817145" w:rsidRPr="00105C9D">
        <w:rPr>
          <w:rFonts w:ascii="Times New Roman" w:hAnsi="Times New Roman" w:cs="Times New Roman"/>
          <w:sz w:val="28"/>
          <w:szCs w:val="28"/>
        </w:rPr>
        <w:t>закон</w:t>
      </w:r>
      <w:r w:rsidR="00105C9D" w:rsidRPr="00105C9D">
        <w:rPr>
          <w:rFonts w:ascii="Times New Roman" w:hAnsi="Times New Roman" w:cs="Times New Roman"/>
          <w:sz w:val="28"/>
          <w:szCs w:val="28"/>
        </w:rPr>
        <w:t xml:space="preserve">ом </w:t>
      </w:r>
      <w:r w:rsidR="00817145" w:rsidRPr="00105C9D">
        <w:rPr>
          <w:rFonts w:ascii="Times New Roman" w:hAnsi="Times New Roman" w:cs="Times New Roman"/>
          <w:sz w:val="28"/>
          <w:szCs w:val="28"/>
        </w:rPr>
        <w:t xml:space="preserve"> от 15 декабря 2001 года </w:t>
      </w:r>
      <w:hyperlink r:id="rId15" w:history="1">
        <w:r w:rsidR="00817145" w:rsidRPr="00105C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166-ФЗ</w:t>
        </w:r>
      </w:hyperlink>
      <w:r w:rsidR="00817145" w:rsidRPr="00105C9D">
        <w:rPr>
          <w:rFonts w:ascii="Times New Roman" w:hAnsi="Times New Roman" w:cs="Times New Roman"/>
          <w:sz w:val="28"/>
          <w:szCs w:val="28"/>
        </w:rPr>
        <w:t xml:space="preserve"> </w:t>
      </w:r>
      <w:r w:rsidR="00105C9D">
        <w:rPr>
          <w:rFonts w:ascii="Times New Roman" w:hAnsi="Times New Roman" w:cs="Times New Roman"/>
          <w:sz w:val="28"/>
          <w:szCs w:val="28"/>
        </w:rPr>
        <w:t xml:space="preserve"> </w:t>
      </w:r>
      <w:r w:rsidR="00817145" w:rsidRPr="00105C9D">
        <w:rPr>
          <w:rFonts w:ascii="Times New Roman" w:hAnsi="Times New Roman" w:cs="Times New Roman"/>
          <w:sz w:val="28"/>
          <w:szCs w:val="28"/>
        </w:rPr>
        <w:t>"О государственном пенсионном обеспечении в Российской Федерации"</w:t>
      </w:r>
      <w:r w:rsidR="00105C9D" w:rsidRPr="00105C9D">
        <w:rPr>
          <w:rFonts w:ascii="Times New Roman" w:hAnsi="Times New Roman" w:cs="Times New Roman"/>
          <w:sz w:val="28"/>
          <w:szCs w:val="28"/>
        </w:rPr>
        <w:t xml:space="preserve">.  Согласно статьи 7 Федерального закона </w:t>
      </w:r>
      <w:r w:rsidR="00105C9D" w:rsidRPr="00105C9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hyperlink r:id="rId16" w:history="1">
        <w:r w:rsidR="00105C9D" w:rsidRPr="00105C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166-ФЗ</w:t>
        </w:r>
      </w:hyperlink>
      <w:r w:rsidR="00105C9D" w:rsidRPr="00105C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05C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федеральные государственные гражданские  служащие при наличии стажа  государственной гражданской службы имеют право на пенсию за выслугу лет при увольнении с федеральной государственной гражданской службы.</w:t>
      </w:r>
      <w:r w:rsidR="006D7B1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05C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6021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Аналогичная норма, содержащейся в статье 7  </w:t>
      </w:r>
      <w:r w:rsidR="00B60215" w:rsidRPr="00105C9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60215" w:rsidRPr="00105C9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hyperlink r:id="rId17" w:history="1">
        <w:r w:rsidR="00B60215" w:rsidRPr="00105C9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N 166-ФЗ</w:t>
        </w:r>
      </w:hyperlink>
      <w:r w:rsidR="00B6021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6D7B1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60215" w:rsidRPr="002A122C">
        <w:rPr>
          <w:rFonts w:ascii="Times New Roman" w:hAnsi="Times New Roman"/>
          <w:bCs/>
          <w:sz w:val="28"/>
          <w:szCs w:val="28"/>
        </w:rPr>
        <w:t>установлена</w:t>
      </w:r>
      <w:r w:rsidR="00B6021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статье </w:t>
      </w:r>
      <w:r w:rsidR="006D7B1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6021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5 </w:t>
      </w:r>
      <w:r w:rsidR="006D7B1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Федерального закона </w:t>
      </w:r>
      <w:r w:rsidR="00105C9D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D7B1B" w:rsidRPr="00105C9D">
        <w:rPr>
          <w:rFonts w:ascii="Times New Roman" w:hAnsi="Times New Roman" w:cs="Times New Roman"/>
          <w:sz w:val="28"/>
          <w:szCs w:val="28"/>
        </w:rPr>
        <w:t>N 25-ФЗ</w:t>
      </w:r>
      <w:r w:rsidR="006D7B1B">
        <w:rPr>
          <w:rFonts w:ascii="Times New Roman" w:hAnsi="Times New Roman" w:cs="Times New Roman"/>
          <w:sz w:val="28"/>
          <w:szCs w:val="28"/>
        </w:rPr>
        <w:t xml:space="preserve"> </w:t>
      </w:r>
      <w:r w:rsidR="00B60215">
        <w:rPr>
          <w:rFonts w:ascii="Times New Roman" w:hAnsi="Times New Roman" w:cs="Times New Roman"/>
          <w:sz w:val="28"/>
          <w:szCs w:val="28"/>
        </w:rPr>
        <w:t xml:space="preserve">и </w:t>
      </w:r>
      <w:r w:rsidR="006D7B1B">
        <w:rPr>
          <w:rFonts w:ascii="Times New Roman" w:hAnsi="Times New Roman" w:cs="Times New Roman"/>
          <w:sz w:val="28"/>
          <w:szCs w:val="28"/>
        </w:rPr>
        <w:t xml:space="preserve">распространяется на муниципальных служащих. </w:t>
      </w:r>
    </w:p>
    <w:p w14:paraId="07212716" w14:textId="7F490096" w:rsidR="00575151" w:rsidRDefault="00575151" w:rsidP="006D7B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B1B">
        <w:rPr>
          <w:rFonts w:ascii="Times New Roman" w:hAnsi="Times New Roman" w:cs="Times New Roman"/>
          <w:sz w:val="28"/>
          <w:szCs w:val="28"/>
        </w:rPr>
        <w:t>Пенсия за выслугу лет выплачивается муниципальному служащему за счет средств местного бюджета.</w:t>
      </w:r>
      <w:r w:rsidR="00130985">
        <w:rPr>
          <w:rFonts w:ascii="Times New Roman" w:hAnsi="Times New Roman" w:cs="Times New Roman"/>
          <w:sz w:val="28"/>
          <w:szCs w:val="28"/>
        </w:rPr>
        <w:t xml:space="preserve"> </w:t>
      </w:r>
      <w:r w:rsidRPr="006D7B1B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B60215">
        <w:rPr>
          <w:rFonts w:ascii="Times New Roman" w:hAnsi="Times New Roman" w:cs="Times New Roman"/>
          <w:sz w:val="28"/>
          <w:szCs w:val="28"/>
        </w:rPr>
        <w:t>,</w:t>
      </w:r>
      <w:r w:rsidR="00310551">
        <w:rPr>
          <w:rFonts w:ascii="Times New Roman" w:hAnsi="Times New Roman" w:cs="Times New Roman"/>
          <w:sz w:val="28"/>
          <w:szCs w:val="28"/>
        </w:rPr>
        <w:t xml:space="preserve"> </w:t>
      </w:r>
      <w:r w:rsidR="00B6021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D7B1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60215">
        <w:rPr>
          <w:rFonts w:ascii="Times New Roman" w:hAnsi="Times New Roman" w:cs="Times New Roman"/>
          <w:sz w:val="28"/>
          <w:szCs w:val="28"/>
        </w:rPr>
        <w:t xml:space="preserve">ого </w:t>
      </w:r>
      <w:r w:rsidRPr="006D7B1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6D7B1B">
          <w:rPr>
            <w:rFonts w:ascii="Times New Roman" w:hAnsi="Times New Roman" w:cs="Times New Roman"/>
            <w:sz w:val="28"/>
            <w:szCs w:val="28"/>
          </w:rPr>
          <w:t>закон</w:t>
        </w:r>
        <w:r w:rsidR="00FE095C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D7B1B">
        <w:rPr>
          <w:rFonts w:ascii="Times New Roman" w:hAnsi="Times New Roman" w:cs="Times New Roman"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Федерации", условия предоставления права на </w:t>
      </w:r>
      <w:r w:rsidRPr="006D7B1B">
        <w:rPr>
          <w:rFonts w:ascii="Times New Roman" w:hAnsi="Times New Roman" w:cs="Times New Roman"/>
          <w:sz w:val="28"/>
          <w:szCs w:val="28"/>
        </w:rPr>
        <w:lastRenderedPageBreak/>
        <w:t>пенсию муниципальному служащему определяются правовыми актами органов местного самоуправления.</w:t>
      </w:r>
    </w:p>
    <w:p w14:paraId="1826E395" w14:textId="7CED5431" w:rsidR="00E313FF" w:rsidRDefault="00E313F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31407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4070">
        <w:rPr>
          <w:rFonts w:ascii="Times New Roman" w:hAnsi="Times New Roman" w:cs="Times New Roman"/>
          <w:sz w:val="28"/>
          <w:szCs w:val="28"/>
        </w:rPr>
        <w:t xml:space="preserve"> «О </w:t>
      </w:r>
      <w:r w:rsidR="0031055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310551">
        <w:rPr>
          <w:rFonts w:ascii="Times New Roman" w:hAnsi="Times New Roman" w:cs="Times New Roman"/>
          <w:sz w:val="28"/>
          <w:szCs w:val="28"/>
        </w:rPr>
        <w:t>го</w:t>
      </w:r>
      <w:r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10551">
        <w:rPr>
          <w:rFonts w:ascii="Times New Roman" w:hAnsi="Times New Roman" w:cs="Times New Roman"/>
          <w:sz w:val="28"/>
          <w:szCs w:val="28"/>
        </w:rPr>
        <w:t>я</w:t>
      </w:r>
      <w:r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, представленное  Проектом решения устанавливает:</w:t>
      </w:r>
    </w:p>
    <w:p w14:paraId="2A576DEB" w14:textId="77777777" w:rsidR="0071436F" w:rsidRDefault="00E313F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условия </w:t>
      </w:r>
      <w:r w:rsidR="0071436F">
        <w:rPr>
          <w:rFonts w:ascii="Times New Roman" w:hAnsi="Times New Roman" w:cs="Times New Roman"/>
          <w:sz w:val="28"/>
          <w:szCs w:val="28"/>
        </w:rPr>
        <w:t>назначения пенсии за выслугу лет,</w:t>
      </w:r>
    </w:p>
    <w:p w14:paraId="5EFD30A5" w14:textId="2DA77C21" w:rsidR="00E313FF" w:rsidRDefault="0071436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313FF" w:rsidRPr="00314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пенсии за выслугу лет,</w:t>
      </w:r>
    </w:p>
    <w:p w14:paraId="286E61B7" w14:textId="14147CC2" w:rsidR="0071436F" w:rsidRDefault="0071436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назначения пенсии за выслугу лет,</w:t>
      </w:r>
    </w:p>
    <w:p w14:paraId="0D51BEE1" w14:textId="12DBBF39" w:rsidR="0071436F" w:rsidRDefault="0071436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выплаты пенсии за выслугу лет,</w:t>
      </w:r>
    </w:p>
    <w:p w14:paraId="25B64C4C" w14:textId="77777777" w:rsidR="0071436F" w:rsidRDefault="0071436F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приостановления, возобновления, прекращения выплаты пенсии за выслугу лет,</w:t>
      </w:r>
    </w:p>
    <w:p w14:paraId="1D08D970" w14:textId="77777777" w:rsidR="005D3EF2" w:rsidRDefault="005D3EF2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порядок перерасчета, индексации пенсии за выслугу лет,</w:t>
      </w:r>
    </w:p>
    <w:p w14:paraId="4F3882E1" w14:textId="77777777" w:rsidR="005D3EF2" w:rsidRDefault="005D3EF2" w:rsidP="00E313FF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ответственность за достоверность сведений, представляемых для установления и выплаты пенсии за выслугу лет.</w:t>
      </w:r>
    </w:p>
    <w:p w14:paraId="7A05D09B" w14:textId="77777777" w:rsidR="00D24046" w:rsidRDefault="005D3EF2" w:rsidP="002A2379">
      <w:pPr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78D5">
        <w:rPr>
          <w:rFonts w:ascii="Times New Roman" w:hAnsi="Times New Roman" w:cs="Times New Roman"/>
          <w:sz w:val="28"/>
          <w:szCs w:val="28"/>
        </w:rPr>
        <w:t xml:space="preserve"> Представленным Проектом решения предлагается установить </w:t>
      </w:r>
      <w:r w:rsidR="000251AB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34668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251AB">
        <w:rPr>
          <w:rFonts w:ascii="Times New Roman" w:hAnsi="Times New Roman" w:cs="Times New Roman"/>
          <w:sz w:val="28"/>
          <w:szCs w:val="28"/>
        </w:rPr>
        <w:t>расчет</w:t>
      </w:r>
      <w:r w:rsidR="00346688">
        <w:rPr>
          <w:rFonts w:ascii="Times New Roman" w:hAnsi="Times New Roman" w:cs="Times New Roman"/>
          <w:sz w:val="28"/>
          <w:szCs w:val="28"/>
        </w:rPr>
        <w:t>а</w:t>
      </w:r>
      <w:r w:rsidR="000251AB">
        <w:rPr>
          <w:rFonts w:ascii="Times New Roman" w:hAnsi="Times New Roman" w:cs="Times New Roman"/>
          <w:sz w:val="28"/>
          <w:szCs w:val="28"/>
        </w:rPr>
        <w:t xml:space="preserve"> размера пенсии за выслугу лет муниципальным служащим Михайловского муниципального района.</w:t>
      </w:r>
      <w:r w:rsidR="0031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F64986A" w14:textId="2922D48A" w:rsidR="00D82BC4" w:rsidRPr="00D82BC4" w:rsidRDefault="00D82BC4" w:rsidP="00D82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2BC4">
        <w:rPr>
          <w:rFonts w:ascii="Times New Roman" w:hAnsi="Times New Roman" w:cs="Times New Roman"/>
          <w:sz w:val="28"/>
          <w:szCs w:val="28"/>
        </w:rPr>
        <w:t xml:space="preserve">Пунктом 3.4. раздела 3 Положения установлено, что  размер среднемесячного денежного содержания, исходя из которого гражданину исчисляется пенсия за выслугу лет, не может превышать </w:t>
      </w:r>
      <w:r w:rsidR="000F2FA1">
        <w:rPr>
          <w:rFonts w:ascii="Times New Roman" w:hAnsi="Times New Roman" w:cs="Times New Roman"/>
          <w:sz w:val="28"/>
          <w:szCs w:val="28"/>
        </w:rPr>
        <w:t>1</w:t>
      </w:r>
      <w:r w:rsidRPr="00D82BC4">
        <w:rPr>
          <w:rFonts w:ascii="Times New Roman" w:hAnsi="Times New Roman" w:cs="Times New Roman"/>
          <w:sz w:val="28"/>
          <w:szCs w:val="28"/>
        </w:rPr>
        <w:t xml:space="preserve">,8 оклада денежного содержания  по замещавшейся должности муниципальной службы, на который начисляются районный коэффициент и процентная надбавка, либо </w:t>
      </w:r>
      <w:r w:rsidR="00C6711B">
        <w:rPr>
          <w:rFonts w:ascii="Times New Roman" w:hAnsi="Times New Roman" w:cs="Times New Roman"/>
          <w:sz w:val="28"/>
          <w:szCs w:val="28"/>
        </w:rPr>
        <w:t>1</w:t>
      </w:r>
      <w:r w:rsidRPr="00D82BC4">
        <w:rPr>
          <w:rFonts w:ascii="Times New Roman" w:hAnsi="Times New Roman" w:cs="Times New Roman"/>
          <w:sz w:val="28"/>
          <w:szCs w:val="28"/>
        </w:rPr>
        <w:t>,8 оклада денежного содержания, сохраненного по прежней замещавшейся должности муниципальной службы, на который начисляются районный коэффициент и процентная надбавка</w:t>
      </w:r>
      <w:r w:rsidR="00B72A84">
        <w:rPr>
          <w:rFonts w:ascii="Times New Roman" w:hAnsi="Times New Roman" w:cs="Times New Roman"/>
          <w:sz w:val="28"/>
          <w:szCs w:val="28"/>
        </w:rPr>
        <w:t xml:space="preserve">, что </w:t>
      </w:r>
      <w:r w:rsidR="00DD3E5E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B72A8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D3E5E">
        <w:rPr>
          <w:rFonts w:ascii="Times New Roman" w:hAnsi="Times New Roman" w:cs="Times New Roman"/>
          <w:sz w:val="28"/>
          <w:szCs w:val="28"/>
        </w:rPr>
        <w:t>е</w:t>
      </w:r>
      <w:r w:rsidR="00B72A84">
        <w:rPr>
          <w:rFonts w:ascii="Times New Roman" w:hAnsi="Times New Roman" w:cs="Times New Roman"/>
          <w:sz w:val="28"/>
          <w:szCs w:val="28"/>
        </w:rPr>
        <w:t xml:space="preserve"> 14 Закона Приморского края от 04.06.2007г. № 82-КЗ «О муниципальной службе в Приморском крае» и стать</w:t>
      </w:r>
      <w:r w:rsidR="00DD3E5E">
        <w:rPr>
          <w:rFonts w:ascii="Times New Roman" w:hAnsi="Times New Roman" w:cs="Times New Roman"/>
          <w:sz w:val="28"/>
          <w:szCs w:val="28"/>
        </w:rPr>
        <w:t>е</w:t>
      </w:r>
      <w:r w:rsidR="00B72A84">
        <w:rPr>
          <w:rFonts w:ascii="Times New Roman" w:hAnsi="Times New Roman" w:cs="Times New Roman"/>
          <w:sz w:val="28"/>
          <w:szCs w:val="28"/>
        </w:rPr>
        <w:t xml:space="preserve"> 24 Закона Приморского края от 07.06.2012г. № 51-КЗ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E5E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Приморского края». </w:t>
      </w:r>
    </w:p>
    <w:p w14:paraId="44A542C7" w14:textId="5446BB25" w:rsidR="00346688" w:rsidRPr="00346688" w:rsidRDefault="00D24046" w:rsidP="002A2379">
      <w:pPr>
        <w:suppressAutoHyphens/>
        <w:spacing w:after="0" w:line="240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действующего законодательства необходимо учитывать</w:t>
      </w:r>
      <w:r w:rsidR="00310551" w:rsidRPr="003578D5">
        <w:rPr>
          <w:rFonts w:ascii="Times New Roman" w:hAnsi="Times New Roman" w:cs="Times New Roman"/>
          <w:sz w:val="28"/>
          <w:szCs w:val="28"/>
        </w:rPr>
        <w:t xml:space="preserve">, что условия, порядок назначения, размер пенсии за выслугу лет муниципальным служащим могут изменяться. </w:t>
      </w:r>
      <w:r w:rsidR="002A2379">
        <w:rPr>
          <w:rFonts w:ascii="Times New Roman" w:hAnsi="Times New Roman" w:cs="Times New Roman"/>
          <w:sz w:val="28"/>
          <w:szCs w:val="28"/>
        </w:rPr>
        <w:t>Т</w:t>
      </w:r>
      <w:r w:rsidR="00310551" w:rsidRPr="003578D5">
        <w:rPr>
          <w:rFonts w:ascii="Times New Roman" w:hAnsi="Times New Roman" w:cs="Times New Roman"/>
          <w:sz w:val="28"/>
          <w:szCs w:val="28"/>
        </w:rPr>
        <w:t>акой вывод следует из смысла ряда решений Конституционного Суда Российской Федерации по вопросу дополнительного пенсионного обеспечения государственных гражданских служащих субъектов Российской Федерации (</w:t>
      </w:r>
      <w:hyperlink r:id="rId19" w:history="1">
        <w:r w:rsidR="00310551" w:rsidRPr="003578D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10551" w:rsidRPr="003578D5">
        <w:rPr>
          <w:rFonts w:ascii="Times New Roman" w:hAnsi="Times New Roman" w:cs="Times New Roman"/>
          <w:sz w:val="28"/>
          <w:szCs w:val="28"/>
        </w:rPr>
        <w:t xml:space="preserve"> от 24.05.2001 N 8-П, Определения от 01.12.1999 </w:t>
      </w:r>
      <w:hyperlink r:id="rId20" w:history="1">
        <w:r w:rsidR="00310551" w:rsidRPr="00310551">
          <w:rPr>
            <w:rFonts w:ascii="Times New Roman" w:hAnsi="Times New Roman" w:cs="Times New Roman"/>
            <w:sz w:val="28"/>
            <w:szCs w:val="28"/>
          </w:rPr>
          <w:t>N 189-О</w:t>
        </w:r>
      </w:hyperlink>
      <w:r w:rsidR="00310551" w:rsidRPr="003578D5">
        <w:rPr>
          <w:rFonts w:ascii="Times New Roman" w:hAnsi="Times New Roman" w:cs="Times New Roman"/>
          <w:sz w:val="28"/>
          <w:szCs w:val="28"/>
        </w:rPr>
        <w:t xml:space="preserve">, от 11.05.2006 </w:t>
      </w:r>
      <w:hyperlink r:id="rId21" w:history="1">
        <w:r w:rsidR="00310551" w:rsidRPr="003578D5">
          <w:rPr>
            <w:rFonts w:ascii="Times New Roman" w:hAnsi="Times New Roman" w:cs="Times New Roman"/>
            <w:sz w:val="28"/>
            <w:szCs w:val="28"/>
          </w:rPr>
          <w:t>N 88-О</w:t>
        </w:r>
      </w:hyperlink>
      <w:r w:rsidR="00310551" w:rsidRPr="003578D5">
        <w:rPr>
          <w:rFonts w:ascii="Times New Roman" w:hAnsi="Times New Roman" w:cs="Times New Roman"/>
          <w:sz w:val="28"/>
          <w:szCs w:val="28"/>
        </w:rPr>
        <w:t xml:space="preserve">, от 03.04.2007 </w:t>
      </w:r>
      <w:hyperlink r:id="rId22" w:history="1">
        <w:r w:rsidR="00310551" w:rsidRPr="003578D5">
          <w:rPr>
            <w:rFonts w:ascii="Times New Roman" w:hAnsi="Times New Roman" w:cs="Times New Roman"/>
            <w:sz w:val="28"/>
            <w:szCs w:val="28"/>
          </w:rPr>
          <w:t>N 332-О-П</w:t>
        </w:r>
      </w:hyperlink>
      <w:r w:rsidR="00310551" w:rsidRPr="003578D5">
        <w:rPr>
          <w:rFonts w:ascii="Times New Roman" w:hAnsi="Times New Roman" w:cs="Times New Roman"/>
          <w:sz w:val="28"/>
          <w:szCs w:val="28"/>
        </w:rPr>
        <w:t xml:space="preserve">, от 15.01.2008 </w:t>
      </w:r>
      <w:hyperlink r:id="rId23" w:history="1">
        <w:r w:rsidR="00310551" w:rsidRPr="003578D5">
          <w:rPr>
            <w:rFonts w:ascii="Times New Roman" w:hAnsi="Times New Roman" w:cs="Times New Roman"/>
            <w:sz w:val="28"/>
            <w:szCs w:val="28"/>
          </w:rPr>
          <w:t>N 108-О-О</w:t>
        </w:r>
      </w:hyperlink>
      <w:r w:rsidR="00310551" w:rsidRPr="003578D5">
        <w:rPr>
          <w:rFonts w:ascii="Times New Roman" w:hAnsi="Times New Roman" w:cs="Times New Roman"/>
          <w:sz w:val="28"/>
          <w:szCs w:val="28"/>
        </w:rPr>
        <w:t>)</w:t>
      </w:r>
      <w:r w:rsidR="00310551">
        <w:rPr>
          <w:rFonts w:ascii="Times New Roman" w:hAnsi="Times New Roman" w:cs="Times New Roman"/>
          <w:sz w:val="28"/>
          <w:szCs w:val="28"/>
        </w:rPr>
        <w:t>,</w:t>
      </w:r>
      <w:r w:rsidR="002A2379">
        <w:rPr>
          <w:rFonts w:ascii="Times New Roman" w:hAnsi="Times New Roman" w:cs="Times New Roman"/>
          <w:sz w:val="28"/>
          <w:szCs w:val="28"/>
        </w:rPr>
        <w:t xml:space="preserve"> </w:t>
      </w:r>
      <w:r w:rsidR="00310551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310551" w:rsidRPr="003578D5">
        <w:rPr>
          <w:rFonts w:ascii="Times New Roman" w:hAnsi="Times New Roman" w:cs="Times New Roman"/>
          <w:sz w:val="28"/>
          <w:szCs w:val="28"/>
        </w:rPr>
        <w:t xml:space="preserve">указывает на то, что законодатель </w:t>
      </w:r>
      <w:r w:rsidR="00310551">
        <w:rPr>
          <w:rFonts w:ascii="Times New Roman" w:hAnsi="Times New Roman" w:cs="Times New Roman"/>
          <w:sz w:val="28"/>
          <w:szCs w:val="28"/>
        </w:rPr>
        <w:t xml:space="preserve"> </w:t>
      </w:r>
      <w:r w:rsidR="00310551" w:rsidRPr="003578D5">
        <w:rPr>
          <w:rFonts w:ascii="Times New Roman" w:hAnsi="Times New Roman" w:cs="Times New Roman"/>
          <w:sz w:val="28"/>
          <w:szCs w:val="28"/>
        </w:rPr>
        <w:t>вправе вводить и изменять порядок и условия предоставления за счет собственных средств лицам, проходившим государственную службу в данном субъекте Российской Федерации, дополнительного обеспечения (в виде ежемесячной доплаты либо пенсии за выслугу лет)</w:t>
      </w:r>
      <w:r w:rsidR="00310551">
        <w:rPr>
          <w:rFonts w:ascii="Times New Roman" w:hAnsi="Times New Roman" w:cs="Times New Roman"/>
          <w:sz w:val="28"/>
          <w:szCs w:val="28"/>
        </w:rPr>
        <w:t>.</w:t>
      </w:r>
      <w:r w:rsidR="00346688" w:rsidRPr="00346688">
        <w:rPr>
          <w:rFonts w:ascii="Arial" w:hAnsi="Arial" w:cs="Arial"/>
          <w:sz w:val="20"/>
          <w:szCs w:val="20"/>
        </w:rPr>
        <w:t xml:space="preserve"> </w:t>
      </w:r>
      <w:r w:rsidR="00346688" w:rsidRPr="00346688">
        <w:rPr>
          <w:rFonts w:ascii="Times New Roman" w:hAnsi="Times New Roman" w:cs="Times New Roman"/>
          <w:sz w:val="28"/>
          <w:szCs w:val="28"/>
        </w:rPr>
        <w:t xml:space="preserve">Из приведенных нормативных положений следует, что пенсия за выслугу лет государственным гражданским служащим и пенсионное обеспечение за выслугу лет муниципальным служащим являются государственным пенсионным обеспечением.  Поэтому  юридическая природа пенсии за выслугу лет для государственных гражданских служащих субъектов Российской Федерации и пенсионного обеспечения за выслугу лет муниципальных служащих одинаковая.  </w:t>
      </w:r>
    </w:p>
    <w:p w14:paraId="1A5B9747" w14:textId="1A70BE6B" w:rsidR="003B3449" w:rsidRDefault="003B3449" w:rsidP="003B3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379"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частью 6 статьи 2 Федерального закона от 28 декабря 2013 г. N 400-ФЗ "О страховых пенсиях" установлено, что отношения, связанные с пенсионным обеспечением граждан за счет средств, в </w:t>
      </w:r>
      <w:r w:rsidR="00590830">
        <w:rPr>
          <w:rFonts w:ascii="Times New Roman" w:hAnsi="Times New Roman" w:cs="Times New Roman"/>
          <w:sz w:val="28"/>
          <w:szCs w:val="28"/>
        </w:rPr>
        <w:t>том числе</w:t>
      </w:r>
      <w:r w:rsidRPr="002A2379">
        <w:rPr>
          <w:rFonts w:ascii="Times New Roman" w:hAnsi="Times New Roman" w:cs="Times New Roman"/>
          <w:sz w:val="28"/>
          <w:szCs w:val="28"/>
        </w:rPr>
        <w:t xml:space="preserve"> местных бюджетов, регулируются правовыми актами органов местного самоуправления.</w:t>
      </w:r>
    </w:p>
    <w:p w14:paraId="164D9CFF" w14:textId="77777777" w:rsidR="00C6711B" w:rsidRPr="00C6711B" w:rsidRDefault="00C6711B" w:rsidP="00C67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1B">
        <w:rPr>
          <w:rFonts w:ascii="Times New Roman" w:hAnsi="Times New Roman" w:cs="Times New Roman"/>
          <w:sz w:val="28"/>
          <w:szCs w:val="28"/>
        </w:rPr>
        <w:t>Из абзаца второго пункта 1 и пункта 2 статьи 86 Бюджетного кодекса Российской Федерации следует, что расходные обязательства муниципального образования, возникающие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14:paraId="220A2F2D" w14:textId="7245D527" w:rsidR="00B47ADA" w:rsidRDefault="00590830" w:rsidP="00B47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7ADA">
        <w:rPr>
          <w:rFonts w:ascii="Times New Roman" w:hAnsi="Times New Roman" w:cs="Times New Roman"/>
          <w:sz w:val="28"/>
          <w:szCs w:val="28"/>
        </w:rPr>
        <w:t>К проекту решения а</w:t>
      </w:r>
      <w:r w:rsidR="00C6711B">
        <w:rPr>
          <w:rFonts w:ascii="Times New Roman" w:hAnsi="Times New Roman" w:cs="Times New Roman"/>
          <w:sz w:val="28"/>
          <w:szCs w:val="28"/>
        </w:rPr>
        <w:t>дминистрацией Михайловского муниципального района</w:t>
      </w:r>
      <w:r w:rsidR="00B47ADA">
        <w:rPr>
          <w:rFonts w:ascii="Times New Roman" w:hAnsi="Times New Roman" w:cs="Times New Roman"/>
          <w:sz w:val="28"/>
          <w:szCs w:val="28"/>
        </w:rPr>
        <w:t xml:space="preserve"> </w:t>
      </w:r>
      <w:r w:rsidR="00C6711B">
        <w:rPr>
          <w:rFonts w:ascii="Times New Roman" w:hAnsi="Times New Roman" w:cs="Times New Roman"/>
          <w:sz w:val="28"/>
          <w:szCs w:val="28"/>
        </w:rPr>
        <w:t xml:space="preserve">  </w:t>
      </w:r>
      <w:r w:rsidR="00B47ADA">
        <w:rPr>
          <w:rFonts w:ascii="Times New Roman" w:hAnsi="Times New Roman" w:cs="Times New Roman"/>
          <w:sz w:val="28"/>
          <w:szCs w:val="28"/>
        </w:rPr>
        <w:t>представлено</w:t>
      </w:r>
      <w:r w:rsidR="00C6711B">
        <w:rPr>
          <w:rFonts w:ascii="Times New Roman" w:hAnsi="Times New Roman" w:cs="Times New Roman"/>
          <w:sz w:val="28"/>
          <w:szCs w:val="28"/>
        </w:rPr>
        <w:t xml:space="preserve"> </w:t>
      </w:r>
      <w:r w:rsidR="00B47ADA">
        <w:rPr>
          <w:rFonts w:ascii="Times New Roman" w:hAnsi="Times New Roman" w:cs="Times New Roman"/>
          <w:sz w:val="28"/>
          <w:szCs w:val="28"/>
        </w:rPr>
        <w:t>финансово-экономическое обоснование предполагаемых бюджетных ассигнований необходимых для финансирования на выплату муниципальных пенсий в 2024 году. Общий размер предполагаемых выплат в 2024 году составит 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7ADA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ADA">
        <w:rPr>
          <w:rFonts w:ascii="Times New Roman" w:hAnsi="Times New Roman" w:cs="Times New Roman"/>
          <w:sz w:val="28"/>
          <w:szCs w:val="28"/>
        </w:rPr>
        <w:t> 801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B47ADA">
        <w:rPr>
          <w:rFonts w:ascii="Times New Roman" w:hAnsi="Times New Roman" w:cs="Times New Roman"/>
          <w:sz w:val="28"/>
          <w:szCs w:val="28"/>
        </w:rPr>
        <w:t>рублей.</w:t>
      </w:r>
      <w:r w:rsidR="00D24046">
        <w:rPr>
          <w:rFonts w:ascii="Times New Roman" w:hAnsi="Times New Roman" w:cs="Times New Roman"/>
          <w:sz w:val="28"/>
          <w:szCs w:val="28"/>
        </w:rPr>
        <w:t xml:space="preserve"> </w:t>
      </w:r>
      <w:r w:rsidR="00B47ADA">
        <w:rPr>
          <w:rFonts w:ascii="Times New Roman" w:hAnsi="Times New Roman" w:cs="Times New Roman"/>
          <w:sz w:val="28"/>
          <w:szCs w:val="28"/>
        </w:rPr>
        <w:t xml:space="preserve">При применении нового расчета размер пенсии за выслугу лет дополнительная нагрузка на бюджет района в 2024 году по сравнению с 2023 годом </w:t>
      </w:r>
      <w:r>
        <w:rPr>
          <w:rFonts w:ascii="Times New Roman" w:hAnsi="Times New Roman" w:cs="Times New Roman"/>
          <w:sz w:val="28"/>
          <w:szCs w:val="28"/>
        </w:rPr>
        <w:t xml:space="preserve">(пенсионные выплаты 2023 год 856,00 тыс. руб.) </w:t>
      </w:r>
      <w:r w:rsidR="00B47ADA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 xml:space="preserve">2 636,801 тыс. руб. </w:t>
      </w:r>
    </w:p>
    <w:p w14:paraId="2C695854" w14:textId="77777777" w:rsidR="00711061" w:rsidRPr="002A122C" w:rsidRDefault="00711061" w:rsidP="001C6500">
      <w:p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/>
          <w:b/>
          <w:sz w:val="28"/>
          <w:szCs w:val="28"/>
        </w:rPr>
      </w:pPr>
    </w:p>
    <w:p w14:paraId="612969BB" w14:textId="77777777" w:rsidR="00745CC0" w:rsidRPr="002D3789" w:rsidRDefault="002A122C" w:rsidP="00711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745CC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70F489B5" w14:textId="5465D1AB" w:rsidR="00CB579C" w:rsidRPr="002A122C" w:rsidRDefault="00CB579C" w:rsidP="0071106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="002A122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053E747" w14:textId="77777777" w:rsidR="00CB579C" w:rsidRPr="002A122C" w:rsidRDefault="00CB579C" w:rsidP="002A122C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2D98D" w14:textId="77777777" w:rsidR="00457BD8" w:rsidRDefault="00457BD8" w:rsidP="001C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5A70D694" w14:textId="77777777" w:rsidR="00457BD8" w:rsidRDefault="00457BD8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установлено:</w:t>
      </w:r>
    </w:p>
    <w:p w14:paraId="578CD07B" w14:textId="0DA459C5" w:rsidR="001C6500" w:rsidRDefault="00F03043" w:rsidP="00590830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7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на экспертизу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B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 w:rsidR="00590830" w:rsidRPr="003140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830" w:rsidRPr="00314070">
        <w:rPr>
          <w:rFonts w:ascii="Times New Roman" w:hAnsi="Times New Roman" w:cs="Times New Roman"/>
          <w:sz w:val="28"/>
          <w:szCs w:val="28"/>
        </w:rPr>
        <w:t xml:space="preserve">Об утверждении Положения «О </w:t>
      </w:r>
      <w:r w:rsidR="00590830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590830" w:rsidRPr="00314070">
        <w:rPr>
          <w:rFonts w:ascii="Times New Roman" w:hAnsi="Times New Roman" w:cs="Times New Roman"/>
          <w:sz w:val="28"/>
          <w:szCs w:val="28"/>
        </w:rPr>
        <w:t>пенсионно</w:t>
      </w:r>
      <w:r w:rsidR="00590830">
        <w:rPr>
          <w:rFonts w:ascii="Times New Roman" w:hAnsi="Times New Roman" w:cs="Times New Roman"/>
          <w:sz w:val="28"/>
          <w:szCs w:val="28"/>
        </w:rPr>
        <w:t>го</w:t>
      </w:r>
      <w:r w:rsidR="00590830" w:rsidRPr="003140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90830">
        <w:rPr>
          <w:rFonts w:ascii="Times New Roman" w:hAnsi="Times New Roman" w:cs="Times New Roman"/>
          <w:sz w:val="28"/>
          <w:szCs w:val="28"/>
        </w:rPr>
        <w:t>я</w:t>
      </w:r>
      <w:r w:rsidR="00590830" w:rsidRPr="00314070">
        <w:rPr>
          <w:rFonts w:ascii="Times New Roman" w:hAnsi="Times New Roman" w:cs="Times New Roman"/>
          <w:sz w:val="28"/>
          <w:szCs w:val="28"/>
        </w:rPr>
        <w:t xml:space="preserve"> муниципальных служащих Михайловского муниципального района»</w:t>
      </w:r>
      <w:r w:rsidR="001C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043">
        <w:rPr>
          <w:rFonts w:ascii="Times New Roman" w:hAnsi="Times New Roman"/>
          <w:sz w:val="28"/>
          <w:szCs w:val="28"/>
        </w:rPr>
        <w:t xml:space="preserve"> </w:t>
      </w:r>
      <w:r w:rsidR="001C6500">
        <w:rPr>
          <w:rFonts w:ascii="Times New Roman" w:hAnsi="Times New Roman"/>
          <w:sz w:val="28"/>
          <w:szCs w:val="28"/>
        </w:rPr>
        <w:t xml:space="preserve"> разработан в рамках </w:t>
      </w:r>
      <w:r w:rsidR="001C6500" w:rsidRPr="001C6500">
        <w:rPr>
          <w:rFonts w:ascii="Times New Roman" w:hAnsi="Times New Roman" w:cs="Times New Roman"/>
          <w:sz w:val="28"/>
          <w:szCs w:val="28"/>
        </w:rPr>
        <w:t xml:space="preserve">реализации    </w:t>
      </w:r>
      <w:r w:rsidR="00590830">
        <w:rPr>
          <w:rStyle w:val="blk"/>
          <w:rFonts w:ascii="Times New Roman" w:hAnsi="Times New Roman" w:cs="Times New Roman"/>
          <w:sz w:val="28"/>
          <w:szCs w:val="28"/>
        </w:rPr>
        <w:t>федеральных законов, законов Приморского края</w:t>
      </w:r>
      <w:r w:rsidR="001C6500" w:rsidRPr="001C6500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1C6500">
        <w:rPr>
          <w:rStyle w:val="blk"/>
          <w:sz w:val="28"/>
          <w:szCs w:val="28"/>
        </w:rPr>
        <w:t xml:space="preserve"> </w:t>
      </w:r>
      <w:r w:rsidR="001C6500" w:rsidRPr="00634C86">
        <w:rPr>
          <w:rStyle w:val="blk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>не противоречит действующему законодательству и может быть рассмотрен Думой Михайловского муниципального района  в представленной редакции.</w:t>
      </w:r>
      <w:r w:rsidR="00324751" w:rsidRPr="00324751">
        <w:rPr>
          <w:rFonts w:ascii="Times New Roman" w:hAnsi="Times New Roman"/>
          <w:sz w:val="28"/>
          <w:szCs w:val="28"/>
        </w:rPr>
        <w:t xml:space="preserve"> </w:t>
      </w:r>
    </w:p>
    <w:p w14:paraId="441178E5" w14:textId="77777777" w:rsidR="00590830" w:rsidRDefault="00590830" w:rsidP="00590830">
      <w:pPr>
        <w:suppressAutoHyphens/>
        <w:spacing w:after="0" w:line="240" w:lineRule="auto"/>
        <w:jc w:val="both"/>
        <w:outlineLvl w:val="6"/>
        <w:rPr>
          <w:rFonts w:ascii="Times New Roman" w:hAnsi="Times New Roman"/>
          <w:sz w:val="28"/>
          <w:szCs w:val="28"/>
        </w:rPr>
      </w:pPr>
    </w:p>
    <w:p w14:paraId="2E329296" w14:textId="3D8C1B9C" w:rsidR="00F03043" w:rsidRDefault="00F03043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C6500" w:rsidRPr="001C6500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C6500">
        <w:rPr>
          <w:rFonts w:ascii="Times New Roman" w:hAnsi="Times New Roman" w:cs="Times New Roman"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6E3D31EA" w14:textId="77777777" w:rsidR="00C8274A" w:rsidRPr="00F03043" w:rsidRDefault="00C8274A" w:rsidP="001C6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4BDC5" w14:textId="33224082" w:rsidR="00D424C2" w:rsidRPr="002A122C" w:rsidRDefault="002C75D8" w:rsidP="001C6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  <w:r w:rsidR="00DE76BC" w:rsidRPr="002A122C">
        <w:rPr>
          <w:rFonts w:ascii="Times New Roman" w:hAnsi="Times New Roman" w:cs="Times New Roman"/>
          <w:sz w:val="28"/>
          <w:szCs w:val="28"/>
        </w:rPr>
        <w:t xml:space="preserve">    </w:t>
      </w:r>
      <w:r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58DB" w14:textId="3FD72A2C" w:rsidR="00504270" w:rsidRDefault="00A404FB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45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Соловьянова</w:t>
      </w:r>
    </w:p>
    <w:p w14:paraId="3CB0BDFE" w14:textId="77777777" w:rsidR="00C8274A" w:rsidRPr="002A122C" w:rsidRDefault="00C8274A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DA0FF" w14:textId="77777777" w:rsidR="00EC2F19" w:rsidRDefault="00EC2F19" w:rsidP="001C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2F1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549195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3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11744">
    <w:abstractNumId w:val="6"/>
  </w:num>
  <w:num w:numId="4" w16cid:durableId="1789540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054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770346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138934">
    <w:abstractNumId w:val="2"/>
  </w:num>
  <w:num w:numId="8" w16cid:durableId="492456819">
    <w:abstractNumId w:val="1"/>
  </w:num>
  <w:num w:numId="9" w16cid:durableId="2116975058">
    <w:abstractNumId w:val="5"/>
  </w:num>
  <w:num w:numId="10" w16cid:durableId="3087069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793945">
    <w:abstractNumId w:val="7"/>
  </w:num>
  <w:num w:numId="12" w16cid:durableId="976422163">
    <w:abstractNumId w:val="3"/>
  </w:num>
  <w:num w:numId="13" w16cid:durableId="1451707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6218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54185">
    <w:abstractNumId w:val="0"/>
  </w:num>
  <w:num w:numId="16" w16cid:durableId="946812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1AB"/>
    <w:rsid w:val="0002566C"/>
    <w:rsid w:val="0005286C"/>
    <w:rsid w:val="00061F71"/>
    <w:rsid w:val="00092A1E"/>
    <w:rsid w:val="000A12BE"/>
    <w:rsid w:val="000A13EA"/>
    <w:rsid w:val="000A479D"/>
    <w:rsid w:val="000B1C18"/>
    <w:rsid w:val="000C36DE"/>
    <w:rsid w:val="000E3256"/>
    <w:rsid w:val="000F2FA1"/>
    <w:rsid w:val="000F6E80"/>
    <w:rsid w:val="00105C9D"/>
    <w:rsid w:val="00115BFC"/>
    <w:rsid w:val="0012047A"/>
    <w:rsid w:val="001211FD"/>
    <w:rsid w:val="00130985"/>
    <w:rsid w:val="0014016C"/>
    <w:rsid w:val="00141EDC"/>
    <w:rsid w:val="00143CA6"/>
    <w:rsid w:val="00172938"/>
    <w:rsid w:val="001831E0"/>
    <w:rsid w:val="001923B5"/>
    <w:rsid w:val="001A599A"/>
    <w:rsid w:val="001A5F6F"/>
    <w:rsid w:val="001A6BDD"/>
    <w:rsid w:val="001B5723"/>
    <w:rsid w:val="001C6500"/>
    <w:rsid w:val="001D715C"/>
    <w:rsid w:val="001E3275"/>
    <w:rsid w:val="00222241"/>
    <w:rsid w:val="00231BE9"/>
    <w:rsid w:val="00240DBF"/>
    <w:rsid w:val="00250895"/>
    <w:rsid w:val="00252003"/>
    <w:rsid w:val="002541BC"/>
    <w:rsid w:val="00254BFB"/>
    <w:rsid w:val="0026582C"/>
    <w:rsid w:val="002A122C"/>
    <w:rsid w:val="002A2379"/>
    <w:rsid w:val="002B4A8E"/>
    <w:rsid w:val="002B4E66"/>
    <w:rsid w:val="002C75D8"/>
    <w:rsid w:val="002C7D9C"/>
    <w:rsid w:val="002D3789"/>
    <w:rsid w:val="002E6A76"/>
    <w:rsid w:val="002F2EED"/>
    <w:rsid w:val="002F523E"/>
    <w:rsid w:val="00310551"/>
    <w:rsid w:val="00314070"/>
    <w:rsid w:val="00324751"/>
    <w:rsid w:val="00326B57"/>
    <w:rsid w:val="003413BE"/>
    <w:rsid w:val="00342FDF"/>
    <w:rsid w:val="00346688"/>
    <w:rsid w:val="0035676C"/>
    <w:rsid w:val="003578D5"/>
    <w:rsid w:val="003624C7"/>
    <w:rsid w:val="00373098"/>
    <w:rsid w:val="00373C83"/>
    <w:rsid w:val="003A52DA"/>
    <w:rsid w:val="003B2FB4"/>
    <w:rsid w:val="003B3449"/>
    <w:rsid w:val="003B43AD"/>
    <w:rsid w:val="003D5DB0"/>
    <w:rsid w:val="003F262D"/>
    <w:rsid w:val="00436A3D"/>
    <w:rsid w:val="00443294"/>
    <w:rsid w:val="004453B0"/>
    <w:rsid w:val="00451B1C"/>
    <w:rsid w:val="0045577A"/>
    <w:rsid w:val="004565AC"/>
    <w:rsid w:val="00457BD8"/>
    <w:rsid w:val="00474F45"/>
    <w:rsid w:val="00486838"/>
    <w:rsid w:val="00486D4F"/>
    <w:rsid w:val="0049675D"/>
    <w:rsid w:val="004A10DC"/>
    <w:rsid w:val="004B3E0E"/>
    <w:rsid w:val="004B44B1"/>
    <w:rsid w:val="004B5857"/>
    <w:rsid w:val="004C2D59"/>
    <w:rsid w:val="004D00D4"/>
    <w:rsid w:val="004E3EA9"/>
    <w:rsid w:val="00501A9C"/>
    <w:rsid w:val="00504270"/>
    <w:rsid w:val="00505050"/>
    <w:rsid w:val="005061E1"/>
    <w:rsid w:val="0051208D"/>
    <w:rsid w:val="00512114"/>
    <w:rsid w:val="00512B3F"/>
    <w:rsid w:val="005212D6"/>
    <w:rsid w:val="00522428"/>
    <w:rsid w:val="0053662C"/>
    <w:rsid w:val="00546987"/>
    <w:rsid w:val="005619EA"/>
    <w:rsid w:val="00562625"/>
    <w:rsid w:val="00563597"/>
    <w:rsid w:val="00572673"/>
    <w:rsid w:val="00575151"/>
    <w:rsid w:val="00587082"/>
    <w:rsid w:val="00590830"/>
    <w:rsid w:val="00591409"/>
    <w:rsid w:val="00596C13"/>
    <w:rsid w:val="005A2814"/>
    <w:rsid w:val="005B5112"/>
    <w:rsid w:val="005D3EF2"/>
    <w:rsid w:val="005D5547"/>
    <w:rsid w:val="005E0A4D"/>
    <w:rsid w:val="005E749E"/>
    <w:rsid w:val="00610A62"/>
    <w:rsid w:val="006278DA"/>
    <w:rsid w:val="00634C86"/>
    <w:rsid w:val="00651121"/>
    <w:rsid w:val="0065658D"/>
    <w:rsid w:val="00662C99"/>
    <w:rsid w:val="006661E8"/>
    <w:rsid w:val="00675848"/>
    <w:rsid w:val="00676D66"/>
    <w:rsid w:val="00690870"/>
    <w:rsid w:val="006B6EDE"/>
    <w:rsid w:val="006B7C62"/>
    <w:rsid w:val="006D17CF"/>
    <w:rsid w:val="006D7B1B"/>
    <w:rsid w:val="006F319A"/>
    <w:rsid w:val="00711061"/>
    <w:rsid w:val="0071436F"/>
    <w:rsid w:val="00717CD5"/>
    <w:rsid w:val="007206F6"/>
    <w:rsid w:val="00733D8F"/>
    <w:rsid w:val="00745CC0"/>
    <w:rsid w:val="00761837"/>
    <w:rsid w:val="00767C34"/>
    <w:rsid w:val="00774004"/>
    <w:rsid w:val="007A1478"/>
    <w:rsid w:val="007A77BC"/>
    <w:rsid w:val="007B10DB"/>
    <w:rsid w:val="007B398E"/>
    <w:rsid w:val="007C2017"/>
    <w:rsid w:val="007C51AC"/>
    <w:rsid w:val="007E5C90"/>
    <w:rsid w:val="00811416"/>
    <w:rsid w:val="00813DF2"/>
    <w:rsid w:val="008170A7"/>
    <w:rsid w:val="00817145"/>
    <w:rsid w:val="008307EF"/>
    <w:rsid w:val="00841854"/>
    <w:rsid w:val="008554FF"/>
    <w:rsid w:val="00857F65"/>
    <w:rsid w:val="008A7BBA"/>
    <w:rsid w:val="008C46FF"/>
    <w:rsid w:val="008E3922"/>
    <w:rsid w:val="00900657"/>
    <w:rsid w:val="00907A8B"/>
    <w:rsid w:val="00924EAB"/>
    <w:rsid w:val="00931EB3"/>
    <w:rsid w:val="0094298D"/>
    <w:rsid w:val="009501DF"/>
    <w:rsid w:val="00953055"/>
    <w:rsid w:val="009565ED"/>
    <w:rsid w:val="009849B9"/>
    <w:rsid w:val="00987C14"/>
    <w:rsid w:val="00997431"/>
    <w:rsid w:val="00997738"/>
    <w:rsid w:val="009C1F1D"/>
    <w:rsid w:val="009E225D"/>
    <w:rsid w:val="009F73E7"/>
    <w:rsid w:val="00A019AC"/>
    <w:rsid w:val="00A02209"/>
    <w:rsid w:val="00A03968"/>
    <w:rsid w:val="00A30DC9"/>
    <w:rsid w:val="00A36CAC"/>
    <w:rsid w:val="00A37B2F"/>
    <w:rsid w:val="00A404FB"/>
    <w:rsid w:val="00A439F4"/>
    <w:rsid w:val="00A627CD"/>
    <w:rsid w:val="00A643D9"/>
    <w:rsid w:val="00A678E1"/>
    <w:rsid w:val="00A70F97"/>
    <w:rsid w:val="00A9233A"/>
    <w:rsid w:val="00AD514E"/>
    <w:rsid w:val="00AF38CB"/>
    <w:rsid w:val="00B116BC"/>
    <w:rsid w:val="00B14640"/>
    <w:rsid w:val="00B3314E"/>
    <w:rsid w:val="00B47865"/>
    <w:rsid w:val="00B47ADA"/>
    <w:rsid w:val="00B51391"/>
    <w:rsid w:val="00B60215"/>
    <w:rsid w:val="00B60705"/>
    <w:rsid w:val="00B64F94"/>
    <w:rsid w:val="00B72A84"/>
    <w:rsid w:val="00BA3139"/>
    <w:rsid w:val="00BB10E5"/>
    <w:rsid w:val="00BB181A"/>
    <w:rsid w:val="00BD2292"/>
    <w:rsid w:val="00BD568D"/>
    <w:rsid w:val="00BD7122"/>
    <w:rsid w:val="00BE5F71"/>
    <w:rsid w:val="00BF0056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6711B"/>
    <w:rsid w:val="00C72802"/>
    <w:rsid w:val="00C769A7"/>
    <w:rsid w:val="00C8274A"/>
    <w:rsid w:val="00C905B9"/>
    <w:rsid w:val="00C92DA9"/>
    <w:rsid w:val="00C95C3C"/>
    <w:rsid w:val="00C96281"/>
    <w:rsid w:val="00C966C6"/>
    <w:rsid w:val="00CA6FB0"/>
    <w:rsid w:val="00CB579C"/>
    <w:rsid w:val="00CE7280"/>
    <w:rsid w:val="00D12425"/>
    <w:rsid w:val="00D16CAC"/>
    <w:rsid w:val="00D24046"/>
    <w:rsid w:val="00D24B3B"/>
    <w:rsid w:val="00D424C2"/>
    <w:rsid w:val="00D45A2A"/>
    <w:rsid w:val="00D46020"/>
    <w:rsid w:val="00D47D16"/>
    <w:rsid w:val="00D53040"/>
    <w:rsid w:val="00D54E4A"/>
    <w:rsid w:val="00D82BC4"/>
    <w:rsid w:val="00D854BD"/>
    <w:rsid w:val="00D972E1"/>
    <w:rsid w:val="00DA4256"/>
    <w:rsid w:val="00DB42A8"/>
    <w:rsid w:val="00DD3E5E"/>
    <w:rsid w:val="00DE76BC"/>
    <w:rsid w:val="00E012EE"/>
    <w:rsid w:val="00E02866"/>
    <w:rsid w:val="00E2444D"/>
    <w:rsid w:val="00E313FF"/>
    <w:rsid w:val="00E32402"/>
    <w:rsid w:val="00E36DD2"/>
    <w:rsid w:val="00E41501"/>
    <w:rsid w:val="00E7410D"/>
    <w:rsid w:val="00E748C5"/>
    <w:rsid w:val="00E83D4B"/>
    <w:rsid w:val="00E84D18"/>
    <w:rsid w:val="00E94A64"/>
    <w:rsid w:val="00E976DB"/>
    <w:rsid w:val="00EA23EE"/>
    <w:rsid w:val="00EB1644"/>
    <w:rsid w:val="00EC1C4A"/>
    <w:rsid w:val="00EC2F19"/>
    <w:rsid w:val="00EC497E"/>
    <w:rsid w:val="00EC49D9"/>
    <w:rsid w:val="00EC6301"/>
    <w:rsid w:val="00EC6853"/>
    <w:rsid w:val="00EC6C71"/>
    <w:rsid w:val="00ED0A14"/>
    <w:rsid w:val="00F03043"/>
    <w:rsid w:val="00F304B3"/>
    <w:rsid w:val="00F33445"/>
    <w:rsid w:val="00F41BF1"/>
    <w:rsid w:val="00F4612A"/>
    <w:rsid w:val="00F62569"/>
    <w:rsid w:val="00FC7E1E"/>
    <w:rsid w:val="00FD6661"/>
    <w:rsid w:val="00FE0777"/>
    <w:rsid w:val="00FE095C"/>
    <w:rsid w:val="00FE7D88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4108F5A6-963F-4CED-91EB-D4B3AF4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paragraph" w:customStyle="1" w:styleId="pboth">
    <w:name w:val="pboth"/>
    <w:basedOn w:val="a"/>
    <w:rsid w:val="00BF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FCD25DE03449D99CEF8B58FF203C003D0873BF4964DE8479453A96D0754DD75061C5A7C18719A78335B9BEC53V5B" TargetMode="External"/><Relationship Id="rId13" Type="http://schemas.openxmlformats.org/officeDocument/2006/relationships/hyperlink" Target="consultantplus://offline/ref=A33D280D9BF2AFE4A5F7AD0A5146103AB14B24F2BF6088B36039E9C59A7CF5E41800DB6547743E13730A33C206AB626D7A240AAEBAF75FEASBgBE" TargetMode="External"/><Relationship Id="rId18" Type="http://schemas.openxmlformats.org/officeDocument/2006/relationships/hyperlink" Target="consultantplus://offline/ref=A33D280D9BF2AFE4A5F7AD0A5146103AB14B20F5B26E88B36039E9C59A7CF5E40A0083694674211B7A1F659340SFg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D280D9BF2AFE4A5F7A0194446103AB14B25F1BE63D5B96860E5C79D73AAE11F11DB65476A3E1A64036791S4g1E" TargetMode="External"/><Relationship Id="rId7" Type="http://schemas.openxmlformats.org/officeDocument/2006/relationships/hyperlink" Target="consultantplus://offline/ref=27DFCD25DE03449D99CEF8B58FF203C004D9853FF5974DE8479453A96D0754DD75061C5A7C18719A78335B9BEC53V5B" TargetMode="External"/><Relationship Id="rId12" Type="http://schemas.openxmlformats.org/officeDocument/2006/relationships/hyperlink" Target="consultantplus://offline/ref=A33D280D9BF2AFE4A5F7AD0A5146103AB14B24F2BF6088B36039E9C59A7CF5E41800DB6547743F1D7C0A33C206AB626D7A240AAEBAF75FEASBgBE" TargetMode="External"/><Relationship Id="rId17" Type="http://schemas.openxmlformats.org/officeDocument/2006/relationships/hyperlink" Target="consultantplus://offline/ref=27DFCD25DE03449D99CEF8B58FF203C003D0873BF4964DE8479453A96D0754DD75061C5A7C18719A78335B9BEC53V5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DFCD25DE03449D99CEF8B58FF203C003D0873BF4964DE8479453A96D0754DD75061C5A7C18719A78335B9BEC53V5B" TargetMode="External"/><Relationship Id="rId20" Type="http://schemas.openxmlformats.org/officeDocument/2006/relationships/hyperlink" Target="consultantplus://offline/ref=A33D280D9BF2AFE4A5F7A0194446103AB54229A5E63C8EE43F69EF90C83CABBD5A44C865476A3D1A78S0g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51778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DFCD25DE03449D99CEF8B58FF203C003D0873BF4964DE8479453A96D0754DD75061C5A7C18719A78335B9BEC53V5B" TargetMode="External"/><Relationship Id="rId23" Type="http://schemas.openxmlformats.org/officeDocument/2006/relationships/hyperlink" Target="consultantplus://offline/ref=A33D280D9BF2AFE4A5F7A0194446103AB64121FBB863D5B96860E5C79D73AAE11F11DB65476A3E1A64036791S4g1E" TargetMode="External"/><Relationship Id="rId10" Type="http://schemas.openxmlformats.org/officeDocument/2006/relationships/hyperlink" Target="consultantplus://offline/ref=27DFCD25DE03449D99CEE6B8999E5DCF07DAD837F69442BE19C955FE32575288274642032F553A977224479BE62853D20F55VFB" TargetMode="External"/><Relationship Id="rId19" Type="http://schemas.openxmlformats.org/officeDocument/2006/relationships/hyperlink" Target="consultantplus://offline/ref=A33D280D9BF2AFE4A5F7AD0A5146103AB0432AF3B363D5B96860E5C79D73AAE11F11DB65476A3E1A64036791S4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DFCD25DE03449D99CEF8B58FF203C003D08638FE944DE8479453A96D0754DD75061C5A7C18719A78335B9BEC53V5B" TargetMode="External"/><Relationship Id="rId14" Type="http://schemas.openxmlformats.org/officeDocument/2006/relationships/hyperlink" Target="consultantplus://offline/ref=A33D280D9BF2AFE4A5F7AD0A5146103AB14B24F2BF6088B36039E9C59A7CF5E41800DB6547743D1A7C0A33C206AB626D7A240AAEBAF75FEASBgBE" TargetMode="External"/><Relationship Id="rId22" Type="http://schemas.openxmlformats.org/officeDocument/2006/relationships/hyperlink" Target="consultantplus://offline/ref=A33D280D9BF2AFE4A5F7A0194446103AB24327F0B863D5B96860E5C79D73AAE11F11DB65476A3E1A64036791S4g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5F85-F248-4FE0-8E22-4F73F2D1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208</cp:revision>
  <cp:lastPrinted>2022-06-21T00:55:00Z</cp:lastPrinted>
  <dcterms:created xsi:type="dcterms:W3CDTF">2022-01-13T05:11:00Z</dcterms:created>
  <dcterms:modified xsi:type="dcterms:W3CDTF">2023-11-23T05:11:00Z</dcterms:modified>
</cp:coreProperties>
</file>